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 (фуражира)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(фуражира)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(фуражира)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 (фуражира);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 (фуражира);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 (фуражира);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 (фуражирами);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 (фуражира).</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кладовщиков ООО «Альфа»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ГОСТ, </w:t>
      </w:r>
      <w:r>
        <w:rPr>
          <w:rFonts w:hAnsi="Times New Roman" w:cs="Times New Roman"/>
          <w:color w:val="000000"/>
          <w:sz w:val="24"/>
          <w:szCs w:val="24"/>
        </w:rPr>
        <w:t>Приказ Росстандарта от 12.01.2017 №№ 6-ст</w:t>
      </w:r>
      <w:r>
        <w:rPr>
          <w:rFonts w:hAnsi="Times New Roman" w:cs="Times New Roman"/>
          <w:color w:val="000000"/>
          <w:sz w:val="24"/>
          <w:szCs w:val="24"/>
        </w:rPr>
        <w:t>, ГОСТ Р 55525-2017,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 (фуражира).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(фуражира)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кладовщика (фуражира)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помещения складов пестицидов для хранения продуктов питания, фуража, различных предметов хозяйственного и бытового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хранение неупакованных протравленных семян насыпью на полу, а также их хранение на зернотоках и в складских помещениях, предназначенных для хранения продовольственного или фуражного зерна, товаров бытового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Правила хранения фуражной пшеницы: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хранение отправляется зерно с уровнем влажности не более 12 %. В зернохранилище этот показатель должен быть на уровне 40–75 %, а температура воздуха — не выше 80 °С.</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Просушите зерно перед закладкой в зернохранилище.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смешивайте фураж с разными показателями влажности и засоренности, чтобы не спровоцировать самопроизвольное нагревание пшеницы.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объединяйте охлаждённый фураж с прогретым просушенным зерном.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Здоровую пшеницу не храните в одном помещении с повреждённым или заражённым зерном.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Контролируйте влажность пшеницы и воздуха в зернохранилище в течение всего срока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Спуск работников в силосы и бункеры (для хранения зерна) должен производиться в соответствии с требованиями правил по охране труда при работе на высоте, утверждаемых Минтрудом России в соответствии с подпунктом 5.2.28 Положения о Министерстве труда и социальной защиты Российской Федерации, утвержденного постановлением Правительства Российской Федерации от 19 июня 2012 г. № 610 (Собрание законодательства Российской Федерации, 2012, № 26, ст.3528), и требованиями Правил.</w:t>
      </w:r>
      <w:r>
        <w:br/>
      </w:r>
      <w:r>
        <w:br/>
      </w:r>
      <w:r>
        <w:rPr>
          <w:rFonts w:hAnsi="Times New Roman" w:cs="Times New Roman"/>
          <w:color w:val="000000"/>
          <w:sz w:val="24"/>
          <w:szCs w:val="24"/>
        </w:rPr>
        <w:t>Опускание работников в силосы и бункера высотой более 3 м при помощи веревочных складных лестниц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Хранение грубых, сочных, концентрированных кормов должно осуществляться в соответствии с технологическими регламентами, утвержденными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Места хранения грубых, сочных, концентрированных кормов и зерна должны быть оборудованы молниезащитой и первичными средствами тушения огня.</w:t>
      </w:r>
    </w:p>
    <w:p>
      <w:pPr>
        <w:spacing w:line="240" w:lineRule="auto"/>
        <w:rPr>
          <w:rFonts w:hAnsi="Times New Roman" w:cs="Times New Roman"/>
          <w:color w:val="000000"/>
          <w:sz w:val="24"/>
          <w:szCs w:val="24"/>
        </w:rPr>
      </w:pPr>
      <w:r>
        <w:rPr>
          <w:rFonts w:hAnsi="Times New Roman" w:cs="Times New Roman"/>
          <w:color w:val="000000"/>
          <w:sz w:val="24"/>
          <w:szCs w:val="24"/>
        </w:rPr>
        <w:t>Хранение сельскохозяйственной продукции должно соответствовать требованиям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для хранения исходных материалов, заготовок, полуфабрикатов, готовой продукции и отходов производства должны быть вывешены инструкции о правилах хранения, отпуска агрессивных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Средства индивидуальной защиты, аптечка, поглощающие и нейтрализующие вещества, должны располагаться в доступном месте на случай разбрызгивания или розлива агрессивных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Банки вскрывать только консервным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a069656aee043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