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кладовщика по металлу</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кладовщика по металлу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кладовщика по металлу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кладовщика по металлу;</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кладовщика по металлу;</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кладовщика по металлу;</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кладовщиками по металлу;</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кладовщика по металлу.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кладовщиков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ГОСТ Р 55525-2017</w:t>
      </w:r>
      <w:r>
        <w:rPr>
          <w:rFonts w:hAnsi="Times New Roman" w:cs="Times New Roman"/>
          <w:b/>
          <w:bCs/>
          <w:color w:val="000000"/>
          <w:sz w:val="24"/>
          <w:szCs w:val="24"/>
        </w:rPr>
        <w:t xml:space="preserve">, </w:t>
      </w:r>
      <w:r>
        <w:rPr>
          <w:rFonts w:hAnsi="Times New Roman" w:cs="Times New Roman"/>
          <w:color w:val="000000"/>
          <w:sz w:val="24"/>
          <w:szCs w:val="24"/>
        </w:rPr>
        <w:t xml:space="preserve"> Национальный стандарт Российской Федерации. Складское оборудование. Стеллажи сборно-разборные. Общие технические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кладовщиком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для кладовщика по металлу.</w:t>
      </w:r>
    </w:p>
    <w:p>
      <w:pPr>
        <w:spacing w:line="240" w:lineRule="auto"/>
        <w:rPr>
          <w:rFonts w:hAnsi="Times New Roman" w:cs="Times New Roman"/>
          <w:color w:val="000000"/>
          <w:sz w:val="24"/>
          <w:szCs w:val="24"/>
        </w:rPr>
      </w:pPr>
      <w:r>
        <w:rPr>
          <w:rFonts w:hAnsi="Times New Roman" w:cs="Times New Roman"/>
          <w:color w:val="000000"/>
          <w:sz w:val="24"/>
          <w:szCs w:val="24"/>
        </w:rPr>
        <w:t>3.3.1. Кладовщик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Кладовщик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кладовщика по металлу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травмирование падающим грузом при неаккуратном его складировании;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травмирование рук при переноске тары и грузов без рукавиц, а также при вскрытии тары;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переноска тяжестей сверх предельно допустимой нормы;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пожара при пользовании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кладовщика по металлу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Кладовщик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Кладовщик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кладовщик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Кладовщик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4.1.2.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4.1.3.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4.1.5.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4.1.6.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4.1.7.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исправность, сроки технического освидетельствования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электро- и автопогрузчики, кары, краны и прочее могут только специально обученные работники, сдавшие экзамен и получившие удостоверение на право управления ими.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вытяжной вентиляции, а также наличие и исправность (целостность) инструмента, оснастки, необходимых приспособлений, тары (поддонов, контейнеров и пр.).</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дату последнего испытания стеллажей. Масса груза, размещаемого на стеллажах, не должна превышать величину предельно допустимой нагрузки на них. Величина предельно допустимой нагрузки на полки стеллажа должна указываться на каждом стеллаже.</w:t>
      </w:r>
    </w:p>
    <w:p>
      <w:pPr>
        <w:spacing w:line="240" w:lineRule="auto"/>
        <w:rPr>
          <w:rFonts w:hAnsi="Times New Roman" w:cs="Times New Roman"/>
          <w:color w:val="000000"/>
          <w:sz w:val="24"/>
          <w:szCs w:val="24"/>
        </w:rPr>
      </w:pPr>
      <w:r>
        <w:rPr>
          <w:rFonts w:hAnsi="Times New Roman" w:cs="Times New Roman"/>
          <w:color w:val="000000"/>
          <w:sz w:val="24"/>
          <w:szCs w:val="24"/>
        </w:rPr>
        <w:t>4.4.5. Произвести внешний осмотр и убедиться в отсутствии видимых повреждений (трещин, вмятин, сколов) их основных элементов: рам, балок, опор, стоек, панелей, предохранительных фиксаторов и пр.</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вертикальность стоек рам;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горизонтальность рядов (ярусов);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в сварных швах или в металле деталей;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затяжки крепежа всех резьбовых соединений;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места крепления стеллажей к конструкциям здания, полу;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(горизонтальность, отсутствие выбоин);</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соответствие расстояния между стеллажами габаритам применяемого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(подъезды)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стеллажей и заземляющим проводом);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вокруг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4.4.9.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работник прошел обучение,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подъемно-транспортное оборудование;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состоянием стеллажей, периодически проводить их визуальный осмотр с целью выявления повреждений, деформаций, поломок, нарушений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Поврежденные элементы оборудования, стеллажей должны быть правильно отремонтированы или заменены.</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тары, деформированных элементов стеллажей,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погрузке сортовой стали в транспортное средство отдельные ее пачки укладываются параллельно друг другу без перекашивания.</w:t>
      </w:r>
    </w:p>
    <w:p>
      <w:pPr>
        <w:spacing w:line="240" w:lineRule="auto"/>
        <w:rPr>
          <w:rFonts w:hAnsi="Times New Roman" w:cs="Times New Roman"/>
          <w:color w:val="000000"/>
          <w:sz w:val="24"/>
          <w:szCs w:val="24"/>
        </w:rPr>
      </w:pPr>
      <w:r>
        <w:rPr>
          <w:rFonts w:hAnsi="Times New Roman" w:cs="Times New Roman"/>
          <w:color w:val="000000"/>
          <w:sz w:val="24"/>
          <w:szCs w:val="24"/>
        </w:rPr>
        <w:t>Каждая пачка сортовой стали размером профиля до 180 мм увязывается обвязками из проволоки диаметром не менее 6 мм в две нити: при длине пачки металла до 6 м - в двух местах; при большей длине пачки металла - в трех местах.</w:t>
      </w:r>
    </w:p>
    <w:p>
      <w:pPr>
        <w:spacing w:line="240" w:lineRule="auto"/>
        <w:rPr>
          <w:rFonts w:hAnsi="Times New Roman" w:cs="Times New Roman"/>
          <w:color w:val="000000"/>
          <w:sz w:val="24"/>
          <w:szCs w:val="24"/>
        </w:rPr>
      </w:pPr>
      <w:r>
        <w:rPr>
          <w:rFonts w:hAnsi="Times New Roman" w:cs="Times New Roman"/>
          <w:color w:val="000000"/>
          <w:sz w:val="24"/>
          <w:szCs w:val="24"/>
        </w:rPr>
        <w:t>Каждая пачка сортовой стали размером профиля более 180 мм увязывается обвязками из проволоки диаметром не менее 6 мм в две нити: при длине пачки металла до 9 м - в двух местах; при большей длине пачки металла - в трех местах.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поднимать пачки сортовой стали за обвязки.</w:t>
      </w:r>
    </w:p>
    <w:p>
      <w:pPr>
        <w:spacing w:line="240" w:lineRule="auto"/>
        <w:rPr>
          <w:rFonts w:hAnsi="Times New Roman" w:cs="Times New Roman"/>
          <w:color w:val="000000"/>
          <w:sz w:val="24"/>
          <w:szCs w:val="24"/>
        </w:rPr>
      </w:pPr>
      <w:r>
        <w:rPr>
          <w:rFonts w:hAnsi="Times New Roman" w:cs="Times New Roman"/>
          <w:color w:val="000000"/>
          <w:sz w:val="24"/>
          <w:szCs w:val="24"/>
        </w:rPr>
        <w:t>5.1.7. При погрузке и разгрузке из транспортного средства металлопроката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при разгрузке металлопроката в виде стержней круглого или квадратного сечения металла в пачках применяются стропы с крюками и пакетирующие стропы. При этом пачка или стержни крепятся "на удавку". После поднятия пачки металла или стержней на высоту не более 1 м стропальщик должен убедиться в правильной строповке и отойти в безопасное место, определенное планом производства работ или технологической картой, и с этого места подать сигнал на подъем груза. Такой порядок соблюдается до окончания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2) при разгрузке металлопроката в виде листового металла необходимо: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подвести вспомогательный строп (подстропник) под груз, количество которого не должно превышать номинальную грузоподъемность крана, надеть петли стропа на крюк крана и слегка их натянуть подъемом крюка. Стропальщики при этом отходят в безопасное место, определенное планом производства работ или технологической картой;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сигналу старшего стропальщика машинист крана приподнимает захваченный груз на высоту не более 0,5 м и в образовавшийся зазор стропальщики подводят основные стропы, после чего груз опускается на место, а вспомогательный строп снимается с крюка и на него навешиваются основные стропы. Стропальщики отходят в безопасное место, после чего по сигналу старшего стропальщика машинист крана может переместить груз на место укладки. Укладка производится на подкладки или прокладки. Такой порядок соблюдается до окончания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3) при разгрузке листового металла краном с магнитной шайбой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указать машинисту крана место опускания магнитной шайбы на груз, после чего стропальщик должен отойти в безопасное, видимое машинисту крана место, и дать команду на подъем груза;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груз поднимается выше борта полувагона на высоту не менее 0,5 м, перемещается и опускается над местом укладки на 1 м и с поправкой положения при помощи подручных средств (багра, оттяжки) груз укладывается в штабель. Такой порядок должен соблюдаться до окончания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кладовщиком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аварийной обстановке: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работу подъемно-транспортного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появлении очага возгорания необходимо: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работу подъемно-транспортного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 первичными средствами пожаротушения, если это не угрожает собственной жизни и здоровью.</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6.3.3.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7.2.2. Установить подъемно-транспортное оборудование на стоянку, выключить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35b75f9661849d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