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 боеприпасов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контролера боеприпасов (далее контролер боеприпасов)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контролера боеприпасов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контролера боеприпасов;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контролера боеприпасов;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контролера боеприпасов;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контролера боеприпасов.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Приказ Ростехнадзора от 26.11.2020 N 458 </w:t>
      </w:r>
      <w:r>
        <w:rPr>
          <w:rFonts w:hAnsi="Times New Roman" w:cs="Times New Roman"/>
          <w:color w:val="000000"/>
          <w:sz w:val="24"/>
          <w:szCs w:val="24"/>
        </w:rPr>
        <w:t>Об утверждении Федеральных норм и правил в области промышленной безопасности Основные требования безопасности для объектов производств боеприпасов и спецхимии;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2.1.5. Правила по охране труда при эксплуатации электроустановок, </w:t>
      </w:r>
      <w:r>
        <w:rPr>
          <w:rFonts w:hAnsi="Times New Roman" w:cs="Times New Roman"/>
          <w:b/>
          <w:bCs/>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контролером боеприпасов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контролера боеприпасов.</w:t>
      </w:r>
    </w:p>
    <w:p>
      <w:pPr>
        <w:spacing w:line="240" w:lineRule="auto"/>
        <w:rPr>
          <w:rFonts w:hAnsi="Times New Roman" w:cs="Times New Roman"/>
          <w:color w:val="000000"/>
          <w:sz w:val="24"/>
          <w:szCs w:val="24"/>
        </w:rPr>
      </w:pPr>
      <w:r>
        <w:rPr>
          <w:rFonts w:hAnsi="Times New Roman" w:cs="Times New Roman"/>
          <w:color w:val="000000"/>
          <w:sz w:val="24"/>
          <w:szCs w:val="24"/>
        </w:rPr>
        <w:t>3.3.1. Контролер боеприпасов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Контролер боеприпасов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контролера боеприпасов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на открытом воздухе при действии опасных атмосферных явлений: повышенной (пониженной) температуре воздуха, повышенной (пониженной) влажности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обрушающиеся горные породы;</w:t>
      </w:r>
    </w:p>
    <w:p>
      <w:pPr>
        <w:spacing w:line="240" w:lineRule="auto"/>
        <w:rPr>
          <w:rFonts w:hAnsi="Times New Roman" w:cs="Times New Roman"/>
          <w:color w:val="000000"/>
          <w:sz w:val="24"/>
          <w:szCs w:val="24"/>
        </w:rPr>
      </w:pPr>
      <w:r>
        <w:rPr>
          <w:rFonts w:hAnsi="Times New Roman" w:cs="Times New Roman"/>
          <w:color w:val="000000"/>
          <w:sz w:val="24"/>
          <w:szCs w:val="24"/>
        </w:rPr>
        <w:t>- разрушение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контролера боеприпасов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2"/>
        </w:numPr>
        <w:spacing w:beforeAutospacing="1" w:afterAutospacing="1" w:line="240" w:lineRule="auto"/>
        <w:ind w:left="780" w:right="180"/>
        <w:rPr>
          <w:rFonts w:hAnsi="Times New Roman" w:cs="Times New Roman"/>
          <w:color w:val="000000"/>
          <w:sz w:val="24"/>
          <w:szCs w:val="24"/>
        </w:rPr>
      </w:pPr>
    </w:p>
    <w:p>
      <w:pPr>
        <w:spacing w:line="240" w:lineRule="auto"/>
        <w:ind w:left="60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Контролер боеприпасов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контролер боеприпасов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готовности помещений склада для безопасного производства работ, для чего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вентиляционных установок;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свободных проходов и проездов к местам складирования товаров и тары;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щелей, выбоин, набитых планок, неровностей, скользкости и открытых неогражденных люков, колодцев), достаточность освещенности проходов, проездов и мест производства погрузочно-разгрузочных и складских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путей транспортирования грузов (рампы, пандусы, переходные мостики, сходни и др.) и перед началом погрузочно-разгрузочных работ в зимнее время своевременно принять меры к очистке их от снега, а при обледенении - к посыпке противоскользящим материалом (песком, шлаком, золой);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системы светозвуковой сигнализации "Человек в камере" при эксплуатации холодильных камер, не открывающихся изнутри;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необходимых для безопасной работы ограждений эстакад, отбойного бруса, охранного борта, деревянных слег с крючьями, тормозных колодок, роликовых ломов и других приспособлений для подъема и перемещения грузов;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 помещениях для хранения товаров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стеллажей;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штабелей товаров;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стремянок и приставных лестниц, сроки их испытаний;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целостность тары с пожароопасными и ядовитыми товарами, отсутствие просыпей, проливов масел, красок, жидких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на персональном компьютере (ПК)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расположения проводов электропитания;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подключения оборудования к электросети;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видимых повреждений аппаратуры и рабочей мебели;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фиксации защитного экрана на мониторе и наличие его заземления;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защитного заземления и подключение экранного проводника к корпусу процессора;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на рабочем месте, наличие у светильников рассеивателей и экранирующих решеток, при необходимости, потребовать замены перегоревших ламп или установки светильников местного освещения (с непросвечивающим отражателем и защитным углом не менее 40°);</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светильника местного освещения, предназначенного для освещения зоны расположения документа.</w:t>
      </w:r>
    </w:p>
    <w:p>
      <w:pPr>
        <w:spacing w:line="240" w:lineRule="auto"/>
        <w:rPr>
          <w:rFonts w:hAnsi="Times New Roman" w:cs="Times New Roman"/>
          <w:color w:val="000000"/>
          <w:sz w:val="24"/>
          <w:szCs w:val="24"/>
        </w:rPr>
      </w:pPr>
      <w:r>
        <w:rPr>
          <w:rFonts w:hAnsi="Times New Roman" w:cs="Times New Roman"/>
          <w:color w:val="000000"/>
          <w:sz w:val="24"/>
          <w:szCs w:val="24"/>
        </w:rPr>
        <w:t>Сесть на рабочее место и убедиться в том, что: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и его элементы на рабочем столе расположены устойчиво;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дисплей на рабочем месте расположен так, что изображение в любой его части различимо, и нет необходимости поднимать или опускать голову, следя за изображением;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видеомонитора находится от глаз на оптимальном расстоянии (600 - 700 мм);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клавиатура расположена на поверхности стола на расстоянии 100 - 300 мм от края (или на специальной регулируемой по высоте рабочей поверхности, отделенной от основной столешницы) так, что обеспечивается оптимальная видимость экрана и остается возможность ее свободного перемещения;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поле зрения отсутствует прямая и отраженная блесткость. При необходимости, закрыть шторы, занавески, жалюзи, использовать внешние козырьки, ширму; использовать дисплей, имеющий антибликовое покрытие или антибликовый фильтр. Для устранения эффекта ослепляющего отражения удалить из поля зрения блестящие поверхности;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встречный световой поток;</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правильно установлены стул, подставка для ног, пюпитр для документов, светильник местного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4.4.4. При обнаружении неисправностей оборудования, инвентаря, электропроводки, освещения, ненадлежащего состояния полов и путей транспортирования грузов и других неполадок принять меры к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Загрузка промежуточных складов боеприпасов, взрывчатых веществ и материалов, а также комплектующих изделий должна определяться технологической необходимостью и соответствовать проектной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 При размещении взрывчатых веществ и составов на их основе, в том числе пиротехнических составов, порохов, промышленных взрывчатых веществ, (далее - ВМ), а также изделий, их содержащих, необходимо учитывать совместимость при хранении и транспортировании, предусмотренную проектной и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5.1.3. В складах, погребках, хранилищах и в предназначенных для этой цели помещениях и местах при наличии в них взрывопожароопасных веществ, материалов и изделий на их основе запрещается проведение любых работ, не связанных с хранением, при этом помещение должно удовлетворять следующим требованиям: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должно быть выполнено во взрывобезопасном исполнении или наружным (кососветы), если выдача патронов осуществляется только в светлое время суток, электроосвещение помещений не обязательно;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выключатели, предохранители, распределительные щиты, штепсели должны быть установлены снаружи помещений;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внутри помещения на видном месте у выхода должна быть вывешена табличка с нормами загрузки помещения, утвержденными в установленном порядке;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возле стеллажей и штабелей с патронами должны быть вывешены таблички с указанием наименования, их количества, номера партии, даты изготовления и гарантийного срока хранения;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помещении должно быть предусмотрено место для хранения учетной документации;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 и хранилища должны оборудоваться средствами охранной и пожарной сигнализации в соответствии с проектами, утвержденными в установленном порядке;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помещение должно быть обеспечено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5.1.4. Размещение ВМ и изделий, их содержащих, в штабелях и на стеллажах должно обеспечивать доступ для вентиляции, осмотра или изъятия их из каждого штабеля (стеллажа). При этом проходы для осмотра должны быть не менее 0,7 м, для погрузки и разгрузки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5.1.5. Расстояние от нижней полки стеллажа и низа штабеля до пола должно быть не менее 0,15 м.</w:t>
      </w:r>
    </w:p>
    <w:p>
      <w:pPr>
        <w:spacing w:line="240" w:lineRule="auto"/>
        <w:rPr>
          <w:rFonts w:hAnsi="Times New Roman" w:cs="Times New Roman"/>
          <w:color w:val="000000"/>
          <w:sz w:val="24"/>
          <w:szCs w:val="24"/>
        </w:rPr>
      </w:pPr>
      <w:r>
        <w:rPr>
          <w:rFonts w:hAnsi="Times New Roman" w:cs="Times New Roman"/>
          <w:color w:val="000000"/>
          <w:sz w:val="24"/>
          <w:szCs w:val="24"/>
        </w:rPr>
        <w:t>5.1.6. Высота штабеля и верхней полки стеллажа для ВВ и изделий, их содержащих, должна быть указана в технологической документации, но не должна превышать 1,65 м от пола.</w:t>
      </w:r>
    </w:p>
    <w:p>
      <w:pPr>
        <w:spacing w:line="240" w:lineRule="auto"/>
        <w:rPr>
          <w:rFonts w:hAnsi="Times New Roman" w:cs="Times New Roman"/>
          <w:color w:val="000000"/>
          <w:sz w:val="24"/>
          <w:szCs w:val="24"/>
        </w:rPr>
      </w:pPr>
      <w:r>
        <w:rPr>
          <w:rFonts w:hAnsi="Times New Roman" w:cs="Times New Roman"/>
          <w:color w:val="000000"/>
          <w:sz w:val="24"/>
          <w:szCs w:val="24"/>
        </w:rPr>
        <w:t>5.1.7. Автоматизированные системы управления технологическим процессом (далее - АСУТП) должны строиться на базе электронных и иных средств контроля и автоматики, включая средства вычислительной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5.1.8. Выбор систем контроля, управления и ПАЗ по показателям безопасности, надежности, быстродействию, допустимой погрешности измерительных систем и другим техническим характеристикам осуществляется с учетом физико-химических и взрывчатых свойств продуктов, влияющих на безопасность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5.1.9. Размещение электрических средств и элементов систем контроля, управления и ПАЗ, а также связи и оповещения во взрывоопасных зонах производственных помещений и наружных установок, степень их взрывозащиты должны соответствовать требованиям нормативно-технических документов по устройству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5.1.10. Системы электропитания контрольно-измерительных приборов и других средств автоматизации, системы ПАЗ должны проектироваться с применением двух вводов (основным и резервным, или выборным) сетевого энергоснабжения, запитанных с разных электрических подстанций или разных секций одной подстанции, обеспечиваться автоматическим включением (в случае выборного варианта резервирования - переключением) резервного питания (АВР) и источником бесперебойного питания (ИБП).</w:t>
      </w:r>
    </w:p>
    <w:p>
      <w:pPr>
        <w:spacing w:line="240" w:lineRule="auto"/>
        <w:rPr>
          <w:rFonts w:hAnsi="Times New Roman" w:cs="Times New Roman"/>
          <w:color w:val="000000"/>
          <w:sz w:val="24"/>
          <w:szCs w:val="24"/>
        </w:rPr>
      </w:pPr>
      <w:r>
        <w:rPr>
          <w:rFonts w:hAnsi="Times New Roman" w:cs="Times New Roman"/>
          <w:color w:val="000000"/>
          <w:sz w:val="24"/>
          <w:szCs w:val="24"/>
        </w:rPr>
        <w:t>5.1.11. ИБП, при отсутствии сетевого напряжения электропитания, должен обеспечивать электропитанием работу программируемого логического контроллера и сопутствующих средств автоматизации не менее чем на 30 минут.</w:t>
      </w:r>
    </w:p>
    <w:p>
      <w:pPr>
        <w:spacing w:line="240" w:lineRule="auto"/>
        <w:rPr>
          <w:rFonts w:hAnsi="Times New Roman" w:cs="Times New Roman"/>
          <w:color w:val="000000"/>
          <w:sz w:val="24"/>
          <w:szCs w:val="24"/>
        </w:rPr>
      </w:pPr>
      <w:r>
        <w:rPr>
          <w:rFonts w:hAnsi="Times New Roman" w:cs="Times New Roman"/>
          <w:color w:val="000000"/>
          <w:sz w:val="24"/>
          <w:szCs w:val="24"/>
        </w:rPr>
        <w:t>5.1.12. Дистанционный контроль и управление технологическими процессами должны осуществляться с пультов управления рабочей станции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5.1.13. Пульт управления должен предусматривать оснащение видеоприемными устройствами систем наблюдения с видеорегистраторами, устройствами прямой селективной громкой связи, административной и оперативной связи, а также фиксацию действий оператора при ведении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5.1.14. На пульте управления АСУТП должна быть предусмотрена световая и звуковая сигнализация о загазованности производственных помещений, если она предусмотрена проектной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Для технологических процессов изготовления смесевых ракетных топлив допускается вместо системы ПАЗ использование блокировок, предупреждающих возникновение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5.1.15. АСУТП предусматривается для обеспечения контроля и управления параметрами технологического процесса, визуализации процесса и выдачи управляющих воздействий на исполнительные механизмы в автоматическом или ручном режиме, если это предусмотрено проектной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5.1.16. При автоматизации процессов необходимо предусматривать архивирование и хранение данных о параметрах технологического процесса, командах оператора и работе исполнительных механизмов во времени. Данные о параметрах технологического процесса заносятся оператором в журнал, а также фиксируются в автоматическом режиме и хранятся в течение времени, указанного в проектной и технологической документации на АСУТП.</w:t>
      </w:r>
    </w:p>
    <w:p>
      <w:pPr>
        <w:spacing w:line="240" w:lineRule="auto"/>
        <w:rPr>
          <w:rFonts w:hAnsi="Times New Roman" w:cs="Times New Roman"/>
          <w:color w:val="000000"/>
          <w:sz w:val="24"/>
          <w:szCs w:val="24"/>
        </w:rPr>
      </w:pPr>
      <w:r>
        <w:rPr>
          <w:rFonts w:hAnsi="Times New Roman" w:cs="Times New Roman"/>
          <w:color w:val="000000"/>
          <w:sz w:val="24"/>
          <w:szCs w:val="24"/>
        </w:rPr>
        <w:t>5.1.17. Для взрывопожароопасных технологических процессов предусматриваются системы ПАЗ, предупреждающие возникновение аварийной ситуации при отклонении от предусмотренных регламентом предельно допустимых значений параметров процесса во всех режимах работы и обеспечивающие безопасную остановку или перевод процесса в безопасное состояние по заданной программе, если это предусмотрено технологическим процессом на производство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5.1.18. Системы ПАЗ должны функционировать независимо от системы управления технологическим процессом. Нарушение работы системы управления не должно влиять на работу системы ПАЗ. Формирование сигналов для срабатывания системы ПАЗ должно базироваться на регламентированных предельно допустимых значениях параметров, определяемых свойствами обращающихся веществ и характером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5.1.19. Проектирование АСУТП следует проводить на базе программируемых логических контроллеров (ПЛК) и модулей ПЛК, предназначенных для создания резервируемых систем (АСУТП) и систем противоаварийной защиты. Надежность систем АСУТП и ПАЗ может быть обеспечена аппаратурным резервированием различных типов (дублирование, троирование), временной и функциональной избыточностью и наличием систем диагностики с индикацией рабочего состояния и самодиагностики с сопоставлением значений технологических связанных параметров. Технические решения по обеспечению надежности обосновываются разработчиком проекта.</w:t>
      </w:r>
    </w:p>
    <w:p>
      <w:pPr>
        <w:spacing w:line="240" w:lineRule="auto"/>
        <w:rPr>
          <w:rFonts w:hAnsi="Times New Roman" w:cs="Times New Roman"/>
          <w:color w:val="000000"/>
          <w:sz w:val="24"/>
          <w:szCs w:val="24"/>
        </w:rPr>
      </w:pPr>
      <w:r>
        <w:rPr>
          <w:rFonts w:hAnsi="Times New Roman" w:cs="Times New Roman"/>
          <w:color w:val="000000"/>
          <w:sz w:val="24"/>
          <w:szCs w:val="24"/>
        </w:rPr>
        <w:t>5.1.20. Все действия оператора во время ведения технологического процесса, величины технологических параметров, их отклонение от нормы, состояние исполнительных механизмов должны регистрироваться и архивироваться в 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5.1.21. Сбор и обработка информации в АСУТП, в том числе период опроса датчиков, время вывода на рабочую станцию оператора, время формирования управляющего воздействия и выдача его на исполнительные механизмы должны выполняться с соблюдением требований технологической и проектной документации на разработку АСУТП.</w:t>
      </w:r>
    </w:p>
    <w:p>
      <w:pPr>
        <w:spacing w:line="240" w:lineRule="auto"/>
        <w:rPr>
          <w:rFonts w:hAnsi="Times New Roman" w:cs="Times New Roman"/>
          <w:color w:val="000000"/>
          <w:sz w:val="24"/>
          <w:szCs w:val="24"/>
        </w:rPr>
      </w:pPr>
      <w:r>
        <w:rPr>
          <w:rFonts w:hAnsi="Times New Roman" w:cs="Times New Roman"/>
          <w:color w:val="000000"/>
          <w:sz w:val="24"/>
          <w:szCs w:val="24"/>
        </w:rPr>
        <w:t>5.1.22. На рабочей станции оператора должна быть предусмотрена сигнализация нарушений, выражаемая звуком и изменением цвета, если это предусмотрено технологическим процессом на производство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5.1.23. Контроль на ОПО за обеспечением соответствия технических характеристик эксплуатируемых средств измерений требованиям заводов-изготовителей, обеспечением единства измерений, проведением поверки (калибровки) средств измерений должна осуществлять метрологическая служба организации, эксплуатирующей ОПО.</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5.1.24.2.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контролером боеприпасов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поломке подъемно-транспортного оборудования, угрожающей аварией на складе, остановить работы, принять надлежащие меры безопасности, предупреждающие травмирование работников неисправным оборудованием или поднятым грузом, обеспечить своевременный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работников склада,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Если в процессе работы произошло загрязнение места складирования пролитыми жирами, лакокрасочными, горюче-смазочными материалами, кислотами прекратить работы и потребовать уборки загрязняющих веществ с соблюдением мер безопасности, необходимых при уборке данного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на ПК:</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закрытие всех активных задач;</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в дисководах нет дискет, при наличии - извлечь;</w:t>
      </w:r>
    </w:p>
    <w:p>
      <w:pPr>
        <w:spacing w:line="240" w:lineRule="auto"/>
        <w:rPr>
          <w:rFonts w:hAnsi="Times New Roman" w:cs="Times New Roman"/>
          <w:color w:val="000000"/>
          <w:sz w:val="24"/>
          <w:szCs w:val="24"/>
        </w:rPr>
      </w:pPr>
      <w:r>
        <w:rPr>
          <w:rFonts w:hAnsi="Times New Roman" w:cs="Times New Roman"/>
          <w:color w:val="000000"/>
          <w:sz w:val="24"/>
          <w:szCs w:val="24"/>
        </w:rPr>
        <w:t>выключить питание системного блока (процессора) и всех периферийных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7.2.2. Обойти складские помещения и убедиться в том, что погрузочно-разгрузочные механизмы выключены и обесточены (при помощи рубильника или устройства его заменяющего и предотвращающего случайный пуск), очищены от загрязнения и установлены на места, отведенные для их хранения; загрузочные люки и проемы закрыты на замок изнутри помещения; выключена вентиляция; отходы и обтирочный материал вынесены из помещения в установленные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Выключить освещение и электропитание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7.7. </w:t>
      </w:r>
      <w:r>
        <w:rPr>
          <w:rFonts w:hAnsi="Times New Roman" w:cs="Times New Roman"/>
          <w:b/>
          <w:bCs/>
          <w:color w:val="000000"/>
          <w:sz w:val="24"/>
          <w:szCs w:val="24"/>
        </w:rPr>
        <w:t>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01bc9d0134b41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