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культорганизатора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культорганизатора детского противотуберкулезного санатория.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культорганизатора детского противотуберкулезного санатория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травмы и падения при нарушении инструкций по проведению массовых мероприятий (вечеров, праздников);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при включении электроосвещения;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остроты зрения при недостаточной освещенности рабочего места, а также зрительное утомление при работе с документами на компьютере;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поражение электрическим током при использовании неисправных электроприборов.</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безопасность рабочего места, исправность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Подготовить к работе необходимый материал.</w:t>
      </w:r>
    </w:p>
    <w:p>
      <w:pPr>
        <w:spacing w:line="240" w:lineRule="auto"/>
        <w:rPr>
          <w:rFonts w:hAnsi="Times New Roman" w:cs="Times New Roman"/>
          <w:color w:val="000000"/>
          <w:sz w:val="24"/>
          <w:szCs w:val="24"/>
        </w:rPr>
      </w:pPr>
      <w:r>
        <w:rPr>
          <w:rFonts w:hAnsi="Times New Roman" w:cs="Times New Roman"/>
          <w:color w:val="000000"/>
          <w:sz w:val="24"/>
          <w:szCs w:val="24"/>
        </w:rPr>
        <w:t>4.2.2. Все виды рекламы, портреты актеров, электроаппаратура для подсвета и другие предметы после подвеса и размещения должны быть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4.2.3. Остекленные проемы в наружных или внутренних стенах, которые начинаются от пола, должны быть ограждены декоративными решетками или специальными перилами на высоту не менее 1,1 м от уровня пола либо обозначены знаками безопасности. Допускается применение иных технических решений, обеспечивающих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4.2.4. Мраморный или бетонный пол должен быть застелен противоскользящим теплоизолирующим покрытием.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Гардеробный барьер должен быть прикреплен к полу, чтобы при скоплении зрителей его нельзя было сдвинуть или опрокинуть.</w:t>
      </w:r>
    </w:p>
    <w:p>
      <w:pPr>
        <w:spacing w:line="240" w:lineRule="auto"/>
        <w:rPr>
          <w:rFonts w:hAnsi="Times New Roman" w:cs="Times New Roman"/>
          <w:color w:val="000000"/>
          <w:sz w:val="24"/>
          <w:szCs w:val="24"/>
        </w:rPr>
      </w:pPr>
      <w:r>
        <w:rPr>
          <w:rFonts w:hAnsi="Times New Roman" w:cs="Times New Roman"/>
          <w:color w:val="000000"/>
          <w:sz w:val="24"/>
          <w:szCs w:val="24"/>
        </w:rPr>
        <w:t>4.4.2. Полы помещений (если это не предусмотрено постановочным решением) должны быть без выбоин, щелей и перепадов по высоте. В случае наличия препятствий и перепадов ограждения указанных мест должны окрашиваться в сигнальные цвета.</w:t>
      </w:r>
    </w:p>
    <w:p>
      <w:pPr>
        <w:spacing w:line="240" w:lineRule="auto"/>
        <w:rPr>
          <w:rFonts w:hAnsi="Times New Roman" w:cs="Times New Roman"/>
          <w:color w:val="000000"/>
          <w:sz w:val="24"/>
          <w:szCs w:val="24"/>
        </w:rPr>
      </w:pPr>
      <w:r>
        <w:rPr>
          <w:rFonts w:hAnsi="Times New Roman" w:cs="Times New Roman"/>
          <w:color w:val="000000"/>
          <w:sz w:val="24"/>
          <w:szCs w:val="24"/>
        </w:rPr>
        <w:t>4.4.3. Высота репетиционных залов должна обеспечивать потребности и безопасность репетиционного процесса, при этом репетиционные залы для балета должны быть высотой не менее 4,2 м.</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Соблюдать порядок и не загромождать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5.1.2. При недостаточной освещенности рабочего места пользоваться настольной лампой.</w:t>
      </w:r>
    </w:p>
    <w:p>
      <w:pPr>
        <w:spacing w:line="240" w:lineRule="auto"/>
        <w:rPr>
          <w:rFonts w:hAnsi="Times New Roman" w:cs="Times New Roman"/>
          <w:color w:val="000000"/>
          <w:sz w:val="24"/>
          <w:szCs w:val="24"/>
        </w:rPr>
      </w:pPr>
      <w:r>
        <w:rPr>
          <w:rFonts w:hAnsi="Times New Roman" w:cs="Times New Roman"/>
          <w:color w:val="000000"/>
          <w:sz w:val="24"/>
          <w:szCs w:val="24"/>
        </w:rPr>
        <w:t>5.1.3. Для поддержания здорового микроклимата следует каждые 2 часа проветривать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5.1.4. При проведении массовых мероприятий (вечеров, праздников) следить за соблюдением порядка и дисциплины.</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допускать в зале посторонних лиц при проведении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 работа сценических механизмов в случаях:</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ослабления креплений в стыках металлоконструкций или деталей механизмов;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механизмов или недопустимом износе их деталей, канатов, стяжек;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концевых выключателей, сигнальных приборов, тормозных устройств;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несоответствии оборудования заявленным паспортным данным.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возгорании вызвать пожарную команду по телефону 101, сообщить руководителю работ и приступить к ликвидации очага пожара имеющимися средствами пожаротушения.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электроприборы и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Проверить кабинет, закрыть форточки.</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647883c0c8b432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