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по производству рапсового масла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лаборанта по производству рапсового масла (далее – лаборантов)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лаборантов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приказом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приказом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приказом Минтруда от 27.11.2020 № 834н.</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утвержденные приказом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2.1.6. Приказ Минтруда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2.1.7. Приказ Министерства труда и социальной защиты Российской Федерации от 07.12.2020 № 866н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лаборанта.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лаборант выполняет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лаборантом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трудового</w:t>
      </w:r>
      <w:r>
        <w:rPr>
          <w:rFonts w:hAnsi="Times New Roman" w:cs="Times New Roman"/>
          <w:b/>
          <w:bCs/>
          <w:color w:val="000000"/>
          <w:sz w:val="24"/>
          <w:szCs w:val="24"/>
        </w:rPr>
        <w:t>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лаборанта могут воздействовать следующие опасные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токсичных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2) вредных газообразных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 высокой токсичности, сенсибилизирующих, аллергических и раздражающих свойств легкогорючих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повышенной запыленности и загазованности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или пониженной температуры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повышенного уровня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повышенного уровня вибрации;</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повышенной или пониженной влажности воздуха;</w:t>
      </w:r>
    </w:p>
    <w:p>
      <w:pPr>
        <w:spacing w:line="240" w:lineRule="auto"/>
        <w:rPr>
          <w:rFonts w:hAnsi="Times New Roman" w:cs="Times New Roman"/>
          <w:color w:val="000000"/>
          <w:sz w:val="24"/>
          <w:szCs w:val="24"/>
        </w:rPr>
      </w:pPr>
      <w:r>
        <w:rPr>
          <w:rFonts w:hAnsi="Times New Roman" w:cs="Times New Roman"/>
          <w:color w:val="000000"/>
          <w:sz w:val="24"/>
          <w:szCs w:val="24"/>
        </w:rPr>
        <w:t>10) повышенной или пониженной ионизации воздуха;</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повышенного уровня ионизирующих излучений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повышенного значения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повышенного уровня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14) повышенного уровня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15) повышенной напряженности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16) повышенной напряженности 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17) отсутствия или недостаточного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18)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19) прямой и отраженной блесткости;</w:t>
      </w:r>
    </w:p>
    <w:p>
      <w:pPr>
        <w:spacing w:line="240" w:lineRule="auto"/>
        <w:rPr>
          <w:rFonts w:hAnsi="Times New Roman" w:cs="Times New Roman"/>
          <w:color w:val="000000"/>
          <w:sz w:val="24"/>
          <w:szCs w:val="24"/>
        </w:rPr>
      </w:pPr>
      <w:r>
        <w:rPr>
          <w:rFonts w:hAnsi="Times New Roman" w:cs="Times New Roman"/>
          <w:color w:val="000000"/>
          <w:sz w:val="24"/>
          <w:szCs w:val="24"/>
        </w:rPr>
        <w:t>20) повышенного уровня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21) повышенного уровня инфракрасной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22) движущихся транспортных средств, грузоподъемных машин и механизмов, подвижных частей технологического оборудования, инструмента, перемещаемых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23) острых кромок, заусенцев и шероховатостей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24) падающих предметов (элементов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25) физических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26)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лаборантом могут возникнуть следующие механические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3.18. Помещение лаборатории должно быть оборудовано противопожарным инвентарем (пожарный рукав со стволом, огнетушители). Ответственным за противопожарное состояние лаборатории приказом назначается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лаборатории должна быть разработана и утверждена схема эвакуации персонала на случай пожара или др. чрезвычайных ситуаций. Двери эвакуационных выходов должны открываться наружу.</w:t>
      </w:r>
    </w:p>
    <w:p>
      <w:pPr>
        <w:spacing w:line="240" w:lineRule="auto"/>
        <w:rPr>
          <w:rFonts w:hAnsi="Times New Roman" w:cs="Times New Roman"/>
          <w:color w:val="000000"/>
          <w:sz w:val="24"/>
          <w:szCs w:val="24"/>
        </w:rPr>
      </w:pPr>
      <w:r>
        <w:rPr>
          <w:rFonts w:hAnsi="Times New Roman" w:cs="Times New Roman"/>
          <w:color w:val="000000"/>
          <w:sz w:val="24"/>
          <w:szCs w:val="24"/>
        </w:rPr>
        <w:t>Лаборатория должна быть оборудована приточно-вытяжной вентиляцией, иметь водопровод, канализацию, подводку газа и электроэнергии, центральное отопление и горячее водоснабжение. Помимо общей вентиляции помещение лаборатории должно быть оборудовано вентиляционными устройствами для отсоса воздуха из вытяжных шкафов. Скорость движения воздуха в сечении открытых на 0,15-0,3 м створок шкафа должна быть не менее 0,7 м/с и не менее 1,5 м/с при работе с особо вредными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реактивов, легко воспламеняющихся и горючих жидкостей в лаборатории не должно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На каждом сосуде с химическим веществом должна быть наклеена этикетка с четким наименованием содержащегося в нем вещества и указанием его концентрации. На сосудах с ядовитыми веществами, кроме того, должна быть надпись "яд".</w:t>
      </w:r>
    </w:p>
    <w:p>
      <w:pPr>
        <w:spacing w:line="240" w:lineRule="auto"/>
        <w:rPr>
          <w:rFonts w:hAnsi="Times New Roman" w:cs="Times New Roman"/>
          <w:color w:val="000000"/>
          <w:sz w:val="24"/>
          <w:szCs w:val="24"/>
        </w:rPr>
      </w:pPr>
      <w:r>
        <w:rPr>
          <w:rFonts w:hAnsi="Times New Roman" w:cs="Times New Roman"/>
          <w:color w:val="000000"/>
          <w:sz w:val="24"/>
          <w:szCs w:val="24"/>
        </w:rPr>
        <w:t>Лаборанту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спецодежду и спецобувь.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До начала работы проверить состояние рабочего места, инвентаря, а также чистоту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Следует проверить исправность технологического оборудования, заземления, наличие и исправность противопожарного инвентаря, наличие средств индивидуальной защиты, средств дегазации пролитого этилированного бензина, работу вентиляционных установок, электрооборудования. Все открытые и доступно расположенные движущиеся части насосного агрегата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4.4.2.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приточно-вытяжную вентиляцию за 30 мин до начала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которую вам поручил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 Контакт работников с вредными веществами должен быть исключен за счет применения совершенного и герметичного оборудования, вытяжных шкафов,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Стеклянная посуда требует аккуратного обращения. При небрежном обращении она разбивается, причиняя тяжелые травмы. Поэтому при работе со стеклянной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5.1.3.1. Не следует пользоваться разбитой или треснутой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При нагревании не следует ставить стеклянную посуду непосредственно на огонь. Нагревание лучше вести на песчаной, глицериновой банях или на асбестовых сетках. Не следует ставить горячую посуду непосредственно на стекло или кафельную плитку. Для этого необходимо пользоваться асбестом.</w:t>
      </w:r>
    </w:p>
    <w:p>
      <w:pPr>
        <w:spacing w:line="240" w:lineRule="auto"/>
        <w:rPr>
          <w:rFonts w:hAnsi="Times New Roman" w:cs="Times New Roman"/>
          <w:color w:val="000000"/>
          <w:sz w:val="24"/>
          <w:szCs w:val="24"/>
        </w:rPr>
      </w:pPr>
      <w:r>
        <w:rPr>
          <w:rFonts w:hAnsi="Times New Roman" w:cs="Times New Roman"/>
          <w:color w:val="000000"/>
          <w:sz w:val="24"/>
          <w:szCs w:val="24"/>
        </w:rPr>
        <w:t>5.1.3.2. При сборке химических приборов в горлышки склянок нужно вставлять предварительно обжатые корковые пробки, при этом склянку следует держать левой рукой обернутой полотенцем близко возле горлышка, а правой медленно, со слабым нажатием, загонять пробку в горлышко.</w:t>
      </w:r>
    </w:p>
    <w:p>
      <w:pPr>
        <w:spacing w:line="240" w:lineRule="auto"/>
        <w:rPr>
          <w:rFonts w:hAnsi="Times New Roman" w:cs="Times New Roman"/>
          <w:color w:val="000000"/>
          <w:sz w:val="24"/>
          <w:szCs w:val="24"/>
        </w:rPr>
      </w:pPr>
      <w:r>
        <w:rPr>
          <w:rFonts w:hAnsi="Times New Roman" w:cs="Times New Roman"/>
          <w:color w:val="000000"/>
          <w:sz w:val="24"/>
          <w:szCs w:val="24"/>
        </w:rPr>
        <w:t>5.1.3.3. При заедании притертых стеклянных пробок следует: деревянным молоточком слегка постукивать по горлышку склянки если и это не помогает, следует в горлышко склянки залить этиловый спирт и оставить так на некоторое время.</w:t>
      </w:r>
    </w:p>
    <w:p>
      <w:pPr>
        <w:spacing w:line="240" w:lineRule="auto"/>
        <w:rPr>
          <w:rFonts w:hAnsi="Times New Roman" w:cs="Times New Roman"/>
          <w:color w:val="000000"/>
          <w:sz w:val="24"/>
          <w:szCs w:val="24"/>
        </w:rPr>
      </w:pPr>
      <w:r>
        <w:rPr>
          <w:rFonts w:hAnsi="Times New Roman" w:cs="Times New Roman"/>
          <w:color w:val="000000"/>
          <w:sz w:val="24"/>
          <w:szCs w:val="24"/>
        </w:rPr>
        <w:t>5.1.3.4. При нагревании жидкости в пробирках над спиртовкой или электроплиткой держите пробирку так, чтобы отверстие ее было направлено в сторону, противоположную от вас и соседей по работе.</w:t>
      </w:r>
    </w:p>
    <w:p>
      <w:pPr>
        <w:spacing w:line="240" w:lineRule="auto"/>
        <w:rPr>
          <w:rFonts w:hAnsi="Times New Roman" w:cs="Times New Roman"/>
          <w:color w:val="000000"/>
          <w:sz w:val="24"/>
          <w:szCs w:val="24"/>
        </w:rPr>
      </w:pPr>
      <w:r>
        <w:rPr>
          <w:rFonts w:hAnsi="Times New Roman" w:cs="Times New Roman"/>
          <w:color w:val="000000"/>
          <w:sz w:val="24"/>
          <w:szCs w:val="24"/>
        </w:rPr>
        <w:t>Нагревание пробирки ведите по всей длине слоя жидкости в пробирке.</w:t>
      </w:r>
    </w:p>
    <w:p>
      <w:pPr>
        <w:spacing w:line="240" w:lineRule="auto"/>
        <w:rPr>
          <w:rFonts w:hAnsi="Times New Roman" w:cs="Times New Roman"/>
          <w:color w:val="000000"/>
          <w:sz w:val="24"/>
          <w:szCs w:val="24"/>
        </w:rPr>
      </w:pPr>
      <w:r>
        <w:rPr>
          <w:rFonts w:hAnsi="Times New Roman" w:cs="Times New Roman"/>
          <w:color w:val="000000"/>
          <w:sz w:val="24"/>
          <w:szCs w:val="24"/>
        </w:rPr>
        <w:t>5.1.3.5. Надевая резиновые трубки на стеклянные, следует правильно подбирать их диаметры, не пользоваться тонкостенными стеклянными трубками.</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перемешивании концентрированных растворов едких щелочей необходимо надевать защитные очки, а при больших количествах растворов - также резиновые перчатки и прорезиненный фартук.</w:t>
      </w:r>
    </w:p>
    <w:p>
      <w:pPr>
        <w:spacing w:line="240" w:lineRule="auto"/>
        <w:rPr>
          <w:rFonts w:hAnsi="Times New Roman" w:cs="Times New Roman"/>
          <w:color w:val="000000"/>
          <w:sz w:val="24"/>
          <w:szCs w:val="24"/>
        </w:rPr>
      </w:pPr>
      <w:r>
        <w:rPr>
          <w:rFonts w:hAnsi="Times New Roman" w:cs="Times New Roman"/>
          <w:color w:val="000000"/>
          <w:sz w:val="24"/>
          <w:szCs w:val="24"/>
        </w:rPr>
        <w:t>5.1.5. Концентрированная азотная, серная и соляная кислоты должны храниться в лабораториях в толстостенной стеклянной посуде, емкостью не более 2 литров, в вытяжном шкафу, на поддонах. Склянки с дымящей азотной кислотой следует хранить в специальных ящиках из нержавеющей стали.</w:t>
      </w:r>
    </w:p>
    <w:p>
      <w:pPr>
        <w:spacing w:line="240" w:lineRule="auto"/>
        <w:rPr>
          <w:rFonts w:hAnsi="Times New Roman" w:cs="Times New Roman"/>
          <w:color w:val="000000"/>
          <w:sz w:val="24"/>
          <w:szCs w:val="24"/>
        </w:rPr>
      </w:pPr>
      <w:r>
        <w:rPr>
          <w:rFonts w:hAnsi="Times New Roman" w:cs="Times New Roman"/>
          <w:color w:val="000000"/>
          <w:sz w:val="24"/>
          <w:szCs w:val="24"/>
        </w:rPr>
        <w:t>5.1.6. Кислоты, щелочи и др. едкие жидкости следует разливать при помощи стеклянных сифонов с грушей или других каких-либо нагнетательных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5.1.7. Разлив концентрированных азотной, серной и соляной кислот и работа с ними должна проводиться только при включенной тяге в вытяжном шкафу. При этом дверцы вытяжных шкафов должны быть по возможности прикрыты.</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переноске кислот и щелочей соблюдать требования Правил по охране труда при погрузочно-разгрузочных работах и размещении грузов, утвержденных приказом Минтруда России от 28 октября 2020 года N 753н.</w:t>
      </w:r>
    </w:p>
    <w:p>
      <w:pPr>
        <w:spacing w:line="240" w:lineRule="auto"/>
        <w:rPr>
          <w:rFonts w:hAnsi="Times New Roman" w:cs="Times New Roman"/>
          <w:color w:val="000000"/>
          <w:sz w:val="24"/>
          <w:szCs w:val="24"/>
        </w:rPr>
      </w:pPr>
      <w:r>
        <w:rPr>
          <w:rFonts w:hAnsi="Times New Roman" w:cs="Times New Roman"/>
          <w:color w:val="000000"/>
          <w:sz w:val="24"/>
          <w:szCs w:val="24"/>
        </w:rPr>
        <w:t>5.1.9. В местах хранения азотной кислоты нельзя допускать скопления пыли, соломы и др. воспламеняющихся веществ.</w:t>
      </w:r>
    </w:p>
    <w:p>
      <w:pPr>
        <w:spacing w:line="240" w:lineRule="auto"/>
        <w:rPr>
          <w:rFonts w:hAnsi="Times New Roman" w:cs="Times New Roman"/>
          <w:color w:val="000000"/>
          <w:sz w:val="24"/>
          <w:szCs w:val="24"/>
        </w:rPr>
      </w:pPr>
      <w:r>
        <w:rPr>
          <w:rFonts w:hAnsi="Times New Roman" w:cs="Times New Roman"/>
          <w:color w:val="000000"/>
          <w:sz w:val="24"/>
          <w:szCs w:val="24"/>
        </w:rPr>
        <w:t>5.1.10. При разбавлении серной кислоты ее следует медленно приливать в воду. Добавку воды в кислоту категорически запрещается. Эту операцию следует проводить в фарфоровых стаканах, т. к. она сопровождается сильным нагревом.</w:t>
      </w:r>
    </w:p>
    <w:p>
      <w:pPr>
        <w:spacing w:line="240" w:lineRule="auto"/>
        <w:rPr>
          <w:rFonts w:hAnsi="Times New Roman" w:cs="Times New Roman"/>
          <w:color w:val="000000"/>
          <w:sz w:val="24"/>
          <w:szCs w:val="24"/>
        </w:rPr>
      </w:pPr>
      <w:r>
        <w:rPr>
          <w:rFonts w:hAnsi="Times New Roman" w:cs="Times New Roman"/>
          <w:color w:val="000000"/>
          <w:sz w:val="24"/>
          <w:szCs w:val="24"/>
        </w:rPr>
        <w:t>5.1.11. Применение в качестве сифона резиновых шлангов для переливания концентрированных кислот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Категорически запрещается набирать кислоты и щелочи в пипетки ртом. Для этой цели следует применять резиновую грушу.</w:t>
      </w:r>
    </w:p>
    <w:p>
      <w:pPr>
        <w:spacing w:line="240" w:lineRule="auto"/>
        <w:rPr>
          <w:rFonts w:hAnsi="Times New Roman" w:cs="Times New Roman"/>
          <w:color w:val="000000"/>
          <w:sz w:val="24"/>
          <w:szCs w:val="24"/>
        </w:rPr>
      </w:pPr>
      <w:r>
        <w:rPr>
          <w:rFonts w:hAnsi="Times New Roman" w:cs="Times New Roman"/>
          <w:color w:val="000000"/>
          <w:sz w:val="24"/>
          <w:szCs w:val="24"/>
        </w:rPr>
        <w:t>5.1.13. Слив отработанной кислоты или щелочи в канализацию допускается только после предварительной нейтрализации.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5.1.14. Производственные процессы с радиоактивными веществами следует выполнять в соответствии с "Нормами радиационной безопасности (НРБ-99/2009).</w:t>
      </w:r>
    </w:p>
    <w:p>
      <w:pPr>
        <w:spacing w:line="240" w:lineRule="auto"/>
        <w:rPr>
          <w:rFonts w:hAnsi="Times New Roman" w:cs="Times New Roman"/>
          <w:color w:val="000000"/>
          <w:sz w:val="24"/>
          <w:szCs w:val="24"/>
        </w:rPr>
      </w:pPr>
      <w:r>
        <w:rPr>
          <w:rFonts w:hAnsi="Times New Roman" w:cs="Times New Roman"/>
          <w:color w:val="000000"/>
          <w:sz w:val="24"/>
          <w:szCs w:val="24"/>
        </w:rPr>
        <w:t>5.1.15.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5.1.16. Пожаро- и взрывобезопасность при выполнении работ с использованием химических веществ следует осуществлять в соответствии с ГОСТ 12.1.030, ГОСТ 12.1.010, ГОСТ 12.1.004.</w:t>
      </w:r>
    </w:p>
    <w:p>
      <w:pPr>
        <w:spacing w:line="240" w:lineRule="auto"/>
        <w:rPr>
          <w:rFonts w:hAnsi="Times New Roman" w:cs="Times New Roman"/>
          <w:color w:val="000000"/>
          <w:sz w:val="24"/>
          <w:szCs w:val="24"/>
        </w:rPr>
      </w:pPr>
      <w:r>
        <w:rPr>
          <w:rFonts w:hAnsi="Times New Roman" w:cs="Times New Roman"/>
          <w:color w:val="000000"/>
          <w:sz w:val="24"/>
          <w:szCs w:val="24"/>
        </w:rPr>
        <w:t>5.1.17. В лаборатории должна быть аптечка с набором медикаментов для оказания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приступить к тушению пожара имеющимися средствами пожаротушения; при обнаружении возгорания немедленно сообщить о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любой подходящий материал;</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6.2.2. Целесообразные действия при взрыве (угрозе взрыва):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возникновении/обнаружении несчастного случая для оказания первой помощи необходимо следовать следующему алгоритму:</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оценке обстановки и обеспечению безопасных условий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Вызов скорой медицинской помощи по телефону 103 или 112.</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наличия сознания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восстановлению проходимости дыхательных путей и определению признаков жизни у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проведению сердечно-легочной реанимации до появления признаков жизни.</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поддержанию проходимости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обзорному осмотру пострадавшего и временной остановке наружного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pPr>
        <w:spacing w:line="240" w:lineRule="auto"/>
        <w:rPr>
          <w:rFonts w:hAnsi="Times New Roman" w:cs="Times New Roman"/>
          <w:color w:val="000000"/>
          <w:sz w:val="24"/>
          <w:szCs w:val="24"/>
        </w:rPr>
      </w:pPr>
      <w:r>
        <w:rPr>
          <w:rFonts w:hAnsi="Times New Roman" w:cs="Times New Roman"/>
          <w:color w:val="000000"/>
          <w:sz w:val="24"/>
          <w:szCs w:val="24"/>
        </w:rPr>
        <w:t>Придание пострадавшему оптимального положения тела.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состояния пострадавшего (сознание, дыхание, кровообращение) и оказание психологической поддержки.</w:t>
      </w:r>
    </w:p>
    <w:p>
      <w:pPr>
        <w:spacing w:line="240" w:lineRule="auto"/>
        <w:rPr>
          <w:rFonts w:hAnsi="Times New Roman" w:cs="Times New Roman"/>
          <w:color w:val="000000"/>
          <w:sz w:val="24"/>
          <w:szCs w:val="24"/>
        </w:rPr>
      </w:pPr>
      <w:r>
        <w:rPr>
          <w:rFonts w:hAnsi="Times New Roman" w:cs="Times New Roman"/>
          <w:color w:val="000000"/>
          <w:sz w:val="24"/>
          <w:szCs w:val="24"/>
        </w:rPr>
        <w:t>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место происшествия оставить в первоначальном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6.2.4.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приборы от электрической сети. При отключении электророзетки не дергать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все химреактивы на свои места в лаборатории в закрывающиеся на замки шкафы и сейфы.</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вытяжного шкафа.</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вентили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7.2.5. Проветрить помещение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e342c02aef4d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