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лаборанта в мясной промышленности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лаборанта в мясной промышленности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лаборанта в мясной промышленности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лаборанта в мясной промышленности;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лаборанта в мясной промышленности;</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лаборанта в мясной промышленности;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лаборантом;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лаборантом.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для лаборантов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Приказ Министерства труда и социальной защиты Российской Федерации от 07.12.2020 № 866н</w:t>
      </w:r>
      <w:r>
        <w:rPr>
          <w:rFonts w:hAnsi="Times New Roman" w:cs="Times New Roman"/>
          <w:color w:val="000000"/>
          <w:sz w:val="24"/>
          <w:szCs w:val="24"/>
        </w:rPr>
        <w:t xml:space="preserve"> "Об утверждении Правил по охране труда при производстве отдельных видов пищевой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лаборанта в мясной промышленности (далее - лаборанта). Лаборанту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3.2. К работе в химической лаборатории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3.3. Помещение лаборатории должно быть оборудовано противопожарным инвентарем (пожарный рукав со стволом, огнетушители). Ответственным за противопожарное состояние лаборатории приказом назначается руководитель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3.4. В помещении лаборатории должна быть разработана и утверждена схема эвакуации персонала на случай пожара или др. чрезвычайных ситуаций. Двери эвакуационных выходов должны открываться наружу.</w:t>
      </w:r>
    </w:p>
    <w:p>
      <w:pPr>
        <w:spacing w:line="240" w:lineRule="auto"/>
        <w:rPr>
          <w:rFonts w:hAnsi="Times New Roman" w:cs="Times New Roman"/>
          <w:color w:val="000000"/>
          <w:sz w:val="24"/>
          <w:szCs w:val="24"/>
        </w:rPr>
      </w:pPr>
      <w:r>
        <w:rPr>
          <w:rFonts w:hAnsi="Times New Roman" w:cs="Times New Roman"/>
          <w:color w:val="000000"/>
          <w:sz w:val="24"/>
          <w:szCs w:val="24"/>
        </w:rPr>
        <w:t>3.5. Лаборатория должна быть оборудована приточно-вытяжной вентиляцией, иметь водопровод, канализацию, подводку газа и электроэнергии, центральное отопление и горячее водоснабжение. Помимо общей вентиляции помещение лаборатории должно быть оборудовано вентиляционными устройствами для отсоса воздуха из вытяжных шкафов. Скорость движения воздуха в сечении открытых на 0,15-0,3 м створок шкафа должна быть не менее 0,7 м/с и не менее 1,5 м/с при работе с особо вредными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3.6. Количество реактивов, легко воспламеняющихся и горючих жидкостей в лаборатории не должно превышать суточной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3.7. На каждом сосуде с химическим веществом должна быть наклеена этикетка с четким наименованием содержащегося в нем вещества и указанием его концентрации. На сосудах с ядовитыми веществами, кроме того, должна быть надпись "яд".</w:t>
      </w:r>
    </w:p>
    <w:p>
      <w:pPr>
        <w:spacing w:line="240" w:lineRule="auto"/>
        <w:rPr>
          <w:rFonts w:hAnsi="Times New Roman" w:cs="Times New Roman"/>
          <w:color w:val="000000"/>
          <w:sz w:val="24"/>
          <w:szCs w:val="24"/>
        </w:rPr>
      </w:pPr>
      <w:r>
        <w:rPr>
          <w:rFonts w:hAnsi="Times New Roman" w:cs="Times New Roman"/>
          <w:color w:val="000000"/>
          <w:sz w:val="24"/>
          <w:szCs w:val="24"/>
        </w:rPr>
        <w:t>3.8. Лаборанту необходимо знать и строго соблюдать требования по охране труда, пожарной безопасности, производственной санитарии.</w:t>
      </w:r>
    </w:p>
    <w:p>
      <w:pPr>
        <w:spacing w:line="240" w:lineRule="auto"/>
        <w:rPr>
          <w:rFonts w:hAnsi="Times New Roman" w:cs="Times New Roman"/>
          <w:color w:val="000000"/>
          <w:sz w:val="24"/>
          <w:szCs w:val="24"/>
        </w:rPr>
      </w:pPr>
      <w:r>
        <w:rPr>
          <w:rFonts w:hAnsi="Times New Roman" w:cs="Times New Roman"/>
          <w:color w:val="000000"/>
          <w:sz w:val="24"/>
          <w:szCs w:val="24"/>
        </w:rPr>
        <w:t>3.9. Электробезопасность при проведении работ в лабораториях должна соответствовать ГОСТ 12.1.030.</w:t>
      </w:r>
    </w:p>
    <w:p>
      <w:pPr>
        <w:spacing w:line="240" w:lineRule="auto"/>
        <w:rPr>
          <w:rFonts w:hAnsi="Times New Roman" w:cs="Times New Roman"/>
          <w:color w:val="000000"/>
          <w:sz w:val="24"/>
          <w:szCs w:val="24"/>
        </w:rPr>
      </w:pPr>
      <w:r>
        <w:rPr>
          <w:rFonts w:hAnsi="Times New Roman" w:cs="Times New Roman"/>
          <w:color w:val="000000"/>
          <w:sz w:val="24"/>
          <w:szCs w:val="24"/>
        </w:rPr>
        <w:t>3.10. Лаборант извещает своего непосредственного руководителя о любой ситуации, угрожающей жизни и здоровью людей, о каждом несчастном случае, произошедшем на рабочем месте, о микроповреждениях (микротравмах), произошедших при выполнении работ, об ухудшении состояния своего здоровья, в том числе о проявлении признаков острого заболевания.</w:t>
      </w:r>
    </w:p>
    <w:p>
      <w:pPr>
        <w:spacing w:line="240" w:lineRule="auto"/>
        <w:rPr>
          <w:rFonts w:hAnsi="Times New Roman" w:cs="Times New Roman"/>
          <w:color w:val="000000"/>
          <w:sz w:val="24"/>
          <w:szCs w:val="24"/>
        </w:rPr>
      </w:pPr>
      <w:r>
        <w:rPr>
          <w:rFonts w:hAnsi="Times New Roman" w:cs="Times New Roman"/>
          <w:color w:val="000000"/>
          <w:sz w:val="24"/>
          <w:szCs w:val="24"/>
        </w:rPr>
        <w:t>3.11. Для лаборанта предусмотрены следующие виды инструктажей по охране труда: вводный инструктаж, первичный инструктаж на рабочем месте, при необходимости внеплановый и целевой инструктажи.</w:t>
      </w:r>
    </w:p>
    <w:p>
      <w:pPr>
        <w:spacing w:line="240" w:lineRule="auto"/>
        <w:rPr>
          <w:rFonts w:hAnsi="Times New Roman" w:cs="Times New Roman"/>
          <w:color w:val="000000"/>
          <w:sz w:val="24"/>
          <w:szCs w:val="24"/>
        </w:rPr>
      </w:pPr>
      <w:r>
        <w:rPr>
          <w:rFonts w:hAnsi="Times New Roman" w:cs="Times New Roman"/>
          <w:color w:val="000000"/>
          <w:sz w:val="24"/>
          <w:szCs w:val="24"/>
        </w:rPr>
        <w:t>Перед допуском к самостоятельной работе работник должен пройти стажировку под руководством работников организации,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лаборант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лаборанта в мясной промышленности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1) токсичных и раздражающих химических веществ, проникающих в организм человека через органы дыхания, желудочно-кишечный тракт, кожные покровы и слизистые оболочки;</w:t>
      </w:r>
    </w:p>
    <w:p>
      <w:pPr>
        <w:spacing w:line="240" w:lineRule="auto"/>
        <w:rPr>
          <w:rFonts w:hAnsi="Times New Roman" w:cs="Times New Roman"/>
          <w:color w:val="000000"/>
          <w:sz w:val="24"/>
          <w:szCs w:val="24"/>
        </w:rPr>
      </w:pPr>
      <w:r>
        <w:rPr>
          <w:rFonts w:hAnsi="Times New Roman" w:cs="Times New Roman"/>
          <w:color w:val="000000"/>
          <w:sz w:val="24"/>
          <w:szCs w:val="24"/>
        </w:rPr>
        <w:t>2) вредных газообразных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3) высокой токсичности, сенсибилизирующих, аллергических и раздражающих свойств легкогорючих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4) повышенной запыленности и загазованности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 повышенной или пониженной температуры поверхностей технологического оборудования,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6) повышенной или пониженной температуры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7) повышенного уровня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8) повышенного уровня вибрации;</w:t>
      </w:r>
    </w:p>
    <w:p>
      <w:pPr>
        <w:spacing w:line="240" w:lineRule="auto"/>
        <w:rPr>
          <w:rFonts w:hAnsi="Times New Roman" w:cs="Times New Roman"/>
          <w:color w:val="000000"/>
          <w:sz w:val="24"/>
          <w:szCs w:val="24"/>
        </w:rPr>
      </w:pPr>
      <w:r>
        <w:rPr>
          <w:rFonts w:hAnsi="Times New Roman" w:cs="Times New Roman"/>
          <w:color w:val="000000"/>
          <w:sz w:val="24"/>
          <w:szCs w:val="24"/>
        </w:rPr>
        <w:t>9) повышенной или пониженной влажности воздуха;</w:t>
      </w:r>
    </w:p>
    <w:p>
      <w:pPr>
        <w:spacing w:line="240" w:lineRule="auto"/>
        <w:rPr>
          <w:rFonts w:hAnsi="Times New Roman" w:cs="Times New Roman"/>
          <w:color w:val="000000"/>
          <w:sz w:val="24"/>
          <w:szCs w:val="24"/>
        </w:rPr>
      </w:pPr>
      <w:r>
        <w:rPr>
          <w:rFonts w:hAnsi="Times New Roman" w:cs="Times New Roman"/>
          <w:color w:val="000000"/>
          <w:sz w:val="24"/>
          <w:szCs w:val="24"/>
        </w:rPr>
        <w:t>10) повышенной или пониженной ионизации воздуха;</w:t>
      </w:r>
    </w:p>
    <w:p>
      <w:pPr>
        <w:spacing w:line="240" w:lineRule="auto"/>
        <w:rPr>
          <w:rFonts w:hAnsi="Times New Roman" w:cs="Times New Roman"/>
          <w:color w:val="000000"/>
          <w:sz w:val="24"/>
          <w:szCs w:val="24"/>
        </w:rPr>
      </w:pPr>
      <w:r>
        <w:rPr>
          <w:rFonts w:hAnsi="Times New Roman" w:cs="Times New Roman"/>
          <w:color w:val="000000"/>
          <w:sz w:val="24"/>
          <w:szCs w:val="24"/>
        </w:rPr>
        <w:t>11) повышенного уровня ионизирующих излучений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12) повышенного значения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13) повышенного уровня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14) повышенного уровня электромагнитных излучений;</w:t>
      </w:r>
    </w:p>
    <w:p>
      <w:pPr>
        <w:spacing w:line="240" w:lineRule="auto"/>
        <w:rPr>
          <w:rFonts w:hAnsi="Times New Roman" w:cs="Times New Roman"/>
          <w:color w:val="000000"/>
          <w:sz w:val="24"/>
          <w:szCs w:val="24"/>
        </w:rPr>
      </w:pPr>
      <w:r>
        <w:rPr>
          <w:rFonts w:hAnsi="Times New Roman" w:cs="Times New Roman"/>
          <w:color w:val="000000"/>
          <w:sz w:val="24"/>
          <w:szCs w:val="24"/>
        </w:rPr>
        <w:t>15) повышенной напряженности электрического поля;</w:t>
      </w:r>
    </w:p>
    <w:p>
      <w:pPr>
        <w:spacing w:line="240" w:lineRule="auto"/>
        <w:rPr>
          <w:rFonts w:hAnsi="Times New Roman" w:cs="Times New Roman"/>
          <w:color w:val="000000"/>
          <w:sz w:val="24"/>
          <w:szCs w:val="24"/>
        </w:rPr>
      </w:pPr>
      <w:r>
        <w:rPr>
          <w:rFonts w:hAnsi="Times New Roman" w:cs="Times New Roman"/>
          <w:color w:val="000000"/>
          <w:sz w:val="24"/>
          <w:szCs w:val="24"/>
        </w:rPr>
        <w:t>16) повышенной напряженности магнитного поля;</w:t>
      </w:r>
    </w:p>
    <w:p>
      <w:pPr>
        <w:spacing w:line="240" w:lineRule="auto"/>
        <w:rPr>
          <w:rFonts w:hAnsi="Times New Roman" w:cs="Times New Roman"/>
          <w:color w:val="000000"/>
          <w:sz w:val="24"/>
          <w:szCs w:val="24"/>
        </w:rPr>
      </w:pPr>
      <w:r>
        <w:rPr>
          <w:rFonts w:hAnsi="Times New Roman" w:cs="Times New Roman"/>
          <w:color w:val="000000"/>
          <w:sz w:val="24"/>
          <w:szCs w:val="24"/>
        </w:rPr>
        <w:t>17) отсутствия или недостаточного естественного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18) недостаточной освещенности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19) прямой и отраженной блесткости;</w:t>
      </w:r>
    </w:p>
    <w:p>
      <w:pPr>
        <w:spacing w:line="240" w:lineRule="auto"/>
        <w:rPr>
          <w:rFonts w:hAnsi="Times New Roman" w:cs="Times New Roman"/>
          <w:color w:val="000000"/>
          <w:sz w:val="24"/>
          <w:szCs w:val="24"/>
        </w:rPr>
      </w:pPr>
      <w:r>
        <w:rPr>
          <w:rFonts w:hAnsi="Times New Roman" w:cs="Times New Roman"/>
          <w:color w:val="000000"/>
          <w:sz w:val="24"/>
          <w:szCs w:val="24"/>
        </w:rPr>
        <w:t>20) повышенного уровня ультрафиолетовой радиации;</w:t>
      </w:r>
    </w:p>
    <w:p>
      <w:pPr>
        <w:spacing w:line="240" w:lineRule="auto"/>
        <w:rPr>
          <w:rFonts w:hAnsi="Times New Roman" w:cs="Times New Roman"/>
          <w:color w:val="000000"/>
          <w:sz w:val="24"/>
          <w:szCs w:val="24"/>
        </w:rPr>
      </w:pPr>
      <w:r>
        <w:rPr>
          <w:rFonts w:hAnsi="Times New Roman" w:cs="Times New Roman"/>
          <w:color w:val="000000"/>
          <w:sz w:val="24"/>
          <w:szCs w:val="24"/>
        </w:rPr>
        <w:t>21) повышенного уровня инфракрасной радиации;</w:t>
      </w:r>
    </w:p>
    <w:p>
      <w:pPr>
        <w:spacing w:line="240" w:lineRule="auto"/>
        <w:rPr>
          <w:rFonts w:hAnsi="Times New Roman" w:cs="Times New Roman"/>
          <w:color w:val="000000"/>
          <w:sz w:val="24"/>
          <w:szCs w:val="24"/>
        </w:rPr>
      </w:pPr>
      <w:r>
        <w:rPr>
          <w:rFonts w:hAnsi="Times New Roman" w:cs="Times New Roman"/>
          <w:color w:val="000000"/>
          <w:sz w:val="24"/>
          <w:szCs w:val="24"/>
        </w:rPr>
        <w:t>22) движущихся транспортных средств, грузоподъемных машин и механизмов, подвижных частей технологического оборудования, инструмента, перемещаемых изделий, заготовок,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23) острых кромок, заусенцев и шероховатостей на поверхности технологического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24) падающих предметов (элементов технологического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25) физических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26) нервно-психических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лаборатории </w:t>
      </w:r>
      <w:r>
        <w:rPr>
          <w:rFonts w:hAnsi="Times New Roman" w:cs="Times New Roman"/>
          <w:color w:val="000000"/>
          <w:sz w:val="24"/>
          <w:szCs w:val="24"/>
        </w:rPr>
        <w:t>, представляющих угрозу жизни и здоровью работников, при выполнении работ лаборантом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Надеть предусмотренную соответствующими спецодежду и спецобувь. Спецодежда должна быть застегнута.</w:t>
      </w:r>
    </w:p>
    <w:p>
      <w:pPr>
        <w:spacing w:line="240" w:lineRule="auto"/>
        <w:rPr>
          <w:rFonts w:hAnsi="Times New Roman" w:cs="Times New Roman"/>
          <w:color w:val="000000"/>
          <w:sz w:val="24"/>
          <w:szCs w:val="24"/>
        </w:rPr>
      </w:pPr>
      <w:r>
        <w:rPr>
          <w:rFonts w:hAnsi="Times New Roman" w:cs="Times New Roman"/>
          <w:color w:val="000000"/>
          <w:sz w:val="24"/>
          <w:szCs w:val="24"/>
        </w:rPr>
        <w:t>4.1.2. До начала работы проверить состояние рабочего места, инвентаря, а также чистоту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Следует проверить исправность технологического оборудования, заземления, наличие и исправность противопожарного инвентаря, наличие средств индивидуальной защиты, средств дегазации пролитого этилированного бензина, работу вентиляционных установок, электрооборудования. Все открытые и доступно расположенные движущиеся части насосного агрегата необходимо защитить закрепляемыми ограждениями.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Производственные (технологические) процессы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4.4.2. Производственные процессы следует проводить только при наличии исправных контрольно-измерительных приборов, заземления,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4.4.3. Включить приточно-вытяжную вентиляцию за 30 мин до начала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которую вам поручил руководитель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5.1.2. Контакт работников с вредными веществами должен быть исключен за счет применения совершенного и герметичного оборудования, вытяжных шкафов,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5.1.3. Стеклянная посуда требует аккуратного обращения. При небрежном обращении она разбивается, причиняя тяжелые травмы. Поэтому при работе со стеклянной посудой:</w:t>
      </w:r>
    </w:p>
    <w:p>
      <w:pPr>
        <w:spacing w:line="240" w:lineRule="auto"/>
        <w:rPr>
          <w:rFonts w:hAnsi="Times New Roman" w:cs="Times New Roman"/>
          <w:color w:val="000000"/>
          <w:sz w:val="24"/>
          <w:szCs w:val="24"/>
        </w:rPr>
      </w:pPr>
      <w:r>
        <w:rPr>
          <w:rFonts w:hAnsi="Times New Roman" w:cs="Times New Roman"/>
          <w:color w:val="000000"/>
          <w:sz w:val="24"/>
          <w:szCs w:val="24"/>
        </w:rPr>
        <w:t>5.1.3.1. Не следует пользоваться разбитой или треснутой посудой.</w:t>
      </w:r>
    </w:p>
    <w:p>
      <w:pPr>
        <w:spacing w:line="240" w:lineRule="auto"/>
        <w:rPr>
          <w:rFonts w:hAnsi="Times New Roman" w:cs="Times New Roman"/>
          <w:color w:val="000000"/>
          <w:sz w:val="24"/>
          <w:szCs w:val="24"/>
        </w:rPr>
      </w:pPr>
      <w:r>
        <w:rPr>
          <w:rFonts w:hAnsi="Times New Roman" w:cs="Times New Roman"/>
          <w:color w:val="000000"/>
          <w:sz w:val="24"/>
          <w:szCs w:val="24"/>
        </w:rPr>
        <w:t>При нагревании не следует ставить стеклянную посуду непосредственно на огонь. Нагревание лучше вести на песчаной, глицериновой банях или на асбестовых сетках. Не следует ставить горячую посуду непосредственно на стекло или кафельную плитку. Для этого необходимо пользоваться асбестом.</w:t>
      </w:r>
    </w:p>
    <w:p>
      <w:pPr>
        <w:spacing w:line="240" w:lineRule="auto"/>
        <w:rPr>
          <w:rFonts w:hAnsi="Times New Roman" w:cs="Times New Roman"/>
          <w:color w:val="000000"/>
          <w:sz w:val="24"/>
          <w:szCs w:val="24"/>
        </w:rPr>
      </w:pPr>
      <w:r>
        <w:rPr>
          <w:rFonts w:hAnsi="Times New Roman" w:cs="Times New Roman"/>
          <w:color w:val="000000"/>
          <w:sz w:val="24"/>
          <w:szCs w:val="24"/>
        </w:rPr>
        <w:t>5.1.3.2. При сборке химических приборов в горлышки склянок нужно вставлять предварительно обжатые корковые пробки, при этом склянку следует держать левой рукой обернутой полотенцем близко возле горлышка, а правой медленно, со слабым нажатием, загонять пробку в горлышко.</w:t>
      </w:r>
    </w:p>
    <w:p>
      <w:pPr>
        <w:spacing w:line="240" w:lineRule="auto"/>
        <w:rPr>
          <w:rFonts w:hAnsi="Times New Roman" w:cs="Times New Roman"/>
          <w:color w:val="000000"/>
          <w:sz w:val="24"/>
          <w:szCs w:val="24"/>
        </w:rPr>
      </w:pPr>
      <w:r>
        <w:rPr>
          <w:rFonts w:hAnsi="Times New Roman" w:cs="Times New Roman"/>
          <w:color w:val="000000"/>
          <w:sz w:val="24"/>
          <w:szCs w:val="24"/>
        </w:rPr>
        <w:t>5.1.3.5.1. При заедании притертых стеклянных пробок следует: деревянным молоточком слегка постукивать по горлышку склянки если и это не помогает, следует в горлышко склянки залить этиловый спирт и оставить так на некоторое время.</w:t>
      </w:r>
    </w:p>
    <w:p>
      <w:pPr>
        <w:spacing w:line="240" w:lineRule="auto"/>
        <w:rPr>
          <w:rFonts w:hAnsi="Times New Roman" w:cs="Times New Roman"/>
          <w:color w:val="000000"/>
          <w:sz w:val="24"/>
          <w:szCs w:val="24"/>
        </w:rPr>
      </w:pPr>
      <w:r>
        <w:rPr>
          <w:rFonts w:hAnsi="Times New Roman" w:cs="Times New Roman"/>
          <w:color w:val="000000"/>
          <w:sz w:val="24"/>
          <w:szCs w:val="24"/>
        </w:rPr>
        <w:t>3.3.4. При нагревании жидкости в пробирках над спиртовкой или электроплиткой держите пробирку так, чтобы отверстие ее было направлено в сторону, противоположную от вас и соседей по работе.</w:t>
      </w:r>
    </w:p>
    <w:p>
      <w:pPr>
        <w:spacing w:line="240" w:lineRule="auto"/>
        <w:rPr>
          <w:rFonts w:hAnsi="Times New Roman" w:cs="Times New Roman"/>
          <w:color w:val="000000"/>
          <w:sz w:val="24"/>
          <w:szCs w:val="24"/>
        </w:rPr>
      </w:pPr>
      <w:r>
        <w:rPr>
          <w:rFonts w:hAnsi="Times New Roman" w:cs="Times New Roman"/>
          <w:color w:val="000000"/>
          <w:sz w:val="24"/>
          <w:szCs w:val="24"/>
        </w:rPr>
        <w:t>Нагревание пробирки ведите по всей длине слоя жидкости в пробирке.</w:t>
      </w:r>
    </w:p>
    <w:p>
      <w:pPr>
        <w:spacing w:line="240" w:lineRule="auto"/>
        <w:rPr>
          <w:rFonts w:hAnsi="Times New Roman" w:cs="Times New Roman"/>
          <w:color w:val="000000"/>
          <w:sz w:val="24"/>
          <w:szCs w:val="24"/>
        </w:rPr>
      </w:pPr>
      <w:r>
        <w:rPr>
          <w:rFonts w:hAnsi="Times New Roman" w:cs="Times New Roman"/>
          <w:color w:val="000000"/>
          <w:sz w:val="24"/>
          <w:szCs w:val="24"/>
        </w:rPr>
        <w:t>5.1.3.5. Надевая резиновые трубки на стеклянные, следует правильно подбирать их диаметры, не пользоваться тонкостенными стеклянными трубками.</w:t>
      </w:r>
    </w:p>
    <w:p>
      <w:pPr>
        <w:spacing w:line="240" w:lineRule="auto"/>
        <w:rPr>
          <w:rFonts w:hAnsi="Times New Roman" w:cs="Times New Roman"/>
          <w:color w:val="000000"/>
          <w:sz w:val="24"/>
          <w:szCs w:val="24"/>
        </w:rPr>
      </w:pPr>
      <w:r>
        <w:rPr>
          <w:rFonts w:hAnsi="Times New Roman" w:cs="Times New Roman"/>
          <w:color w:val="000000"/>
          <w:sz w:val="24"/>
          <w:szCs w:val="24"/>
        </w:rPr>
        <w:t>5.1.4. Работы в бактериологических лабораториях.</w:t>
      </w:r>
    </w:p>
    <w:p>
      <w:pPr>
        <w:spacing w:line="240" w:lineRule="auto"/>
        <w:rPr>
          <w:rFonts w:hAnsi="Times New Roman" w:cs="Times New Roman"/>
          <w:color w:val="000000"/>
          <w:sz w:val="24"/>
          <w:szCs w:val="24"/>
        </w:rPr>
      </w:pPr>
      <w:r>
        <w:rPr>
          <w:rFonts w:hAnsi="Times New Roman" w:cs="Times New Roman"/>
          <w:color w:val="000000"/>
          <w:sz w:val="24"/>
          <w:szCs w:val="24"/>
        </w:rPr>
        <w:t>5.1.4.1. Производственные процессы в бактериологических лабораториях должны выполняться в соответствии с действующими санитарными правилами.</w:t>
      </w:r>
    </w:p>
    <w:p>
      <w:pPr>
        <w:spacing w:line="240" w:lineRule="auto"/>
        <w:rPr>
          <w:rFonts w:hAnsi="Times New Roman" w:cs="Times New Roman"/>
          <w:color w:val="000000"/>
          <w:sz w:val="24"/>
          <w:szCs w:val="24"/>
        </w:rPr>
      </w:pPr>
      <w:r>
        <w:rPr>
          <w:rFonts w:hAnsi="Times New Roman" w:cs="Times New Roman"/>
          <w:color w:val="000000"/>
          <w:sz w:val="24"/>
          <w:szCs w:val="24"/>
        </w:rPr>
        <w:t>При одновременном проведении работ с возбудителями инфекций различной степени опасности режим работы лаборатории должен устанавливаться с учетом требований и условий работы с наиболее опасным возбудителем.</w:t>
      </w:r>
    </w:p>
    <w:p>
      <w:pPr>
        <w:spacing w:line="240" w:lineRule="auto"/>
        <w:rPr>
          <w:rFonts w:hAnsi="Times New Roman" w:cs="Times New Roman"/>
          <w:color w:val="000000"/>
          <w:sz w:val="24"/>
          <w:szCs w:val="24"/>
        </w:rPr>
      </w:pPr>
      <w:r>
        <w:rPr>
          <w:rFonts w:hAnsi="Times New Roman" w:cs="Times New Roman"/>
          <w:color w:val="000000"/>
          <w:sz w:val="24"/>
          <w:szCs w:val="24"/>
        </w:rPr>
        <w:t>5.1.4.2. Запрещается при бактериологических исследованиях: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работу с инфекционным материалом без резиновых перчаток и инструментов (пинцетов, игл, петлей, корнцангов);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руками к исследуемому материалу;</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соприкосновение рук с конденсатом воды в засеянных чашках;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размещать посуду с посевами патогенных бактерий непосредственно на столах;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переливать инфицированные жидкости из сосуда в сосуд через край;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по окончании работы на рабочих столах нефиксированные мазки, чашки Петри, пробирки и другую посуду с инфекционным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5.1.4.3. При бактериологических исследованиях следует:</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в работе как одноразовую, так и стеклянную посуду многоразового использования без повреждений, иглы шприцев с нормальной проходимостью;</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посев инфекционного материала в пробирки и чашки Петри около огня горелки с обжиганием петли, шпателя, краев пробирки; платиновые петли прокаливать на огне;</w:t>
      </w:r>
    </w:p>
    <w:p>
      <w:pPr>
        <w:spacing w:line="240" w:lineRule="auto"/>
        <w:rPr>
          <w:rFonts w:hAnsi="Times New Roman" w:cs="Times New Roman"/>
          <w:color w:val="000000"/>
          <w:sz w:val="24"/>
          <w:szCs w:val="24"/>
        </w:rPr>
      </w:pPr>
      <w:r>
        <w:rPr>
          <w:rFonts w:hAnsi="Times New Roman" w:cs="Times New Roman"/>
          <w:color w:val="000000"/>
          <w:sz w:val="24"/>
          <w:szCs w:val="24"/>
        </w:rPr>
        <w:t>делать надпись при посеве инфекционного материала на пробирках, чашках Петри, колбах, флаконах с указанием названия материала, номера культуры и даты посева или соответствующего регистрационного номера;</w:t>
      </w:r>
    </w:p>
    <w:p>
      <w:pPr>
        <w:spacing w:line="240" w:lineRule="auto"/>
        <w:rPr>
          <w:rFonts w:hAnsi="Times New Roman" w:cs="Times New Roman"/>
          <w:color w:val="000000"/>
          <w:sz w:val="24"/>
          <w:szCs w:val="24"/>
        </w:rPr>
      </w:pPr>
      <w:r>
        <w:rPr>
          <w:rFonts w:hAnsi="Times New Roman" w:cs="Times New Roman"/>
          <w:color w:val="000000"/>
          <w:sz w:val="24"/>
          <w:szCs w:val="24"/>
        </w:rPr>
        <w:t>помещать все чашки с посевами в кюветы или на подносы, а пробирки в штативы.</w:t>
      </w:r>
    </w:p>
    <w:p>
      <w:pPr>
        <w:spacing w:line="240" w:lineRule="auto"/>
        <w:rPr>
          <w:rFonts w:hAnsi="Times New Roman" w:cs="Times New Roman"/>
          <w:color w:val="000000"/>
          <w:sz w:val="24"/>
          <w:szCs w:val="24"/>
        </w:rPr>
      </w:pPr>
      <w:r>
        <w:rPr>
          <w:rFonts w:hAnsi="Times New Roman" w:cs="Times New Roman"/>
          <w:color w:val="000000"/>
          <w:sz w:val="24"/>
          <w:szCs w:val="24"/>
        </w:rPr>
        <w:t>5.1.5. Работы в вирусологической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5.1.5.1. Все культуры с подозрением на возбудителей, отнесенных к I-II группе, выделенные в лабораториях, следует переслать в специализированную лабораторию.</w:t>
      </w:r>
    </w:p>
    <w:p>
      <w:pPr>
        <w:spacing w:line="240" w:lineRule="auto"/>
        <w:rPr>
          <w:rFonts w:hAnsi="Times New Roman" w:cs="Times New Roman"/>
          <w:color w:val="000000"/>
          <w:sz w:val="24"/>
          <w:szCs w:val="24"/>
        </w:rPr>
      </w:pPr>
      <w:r>
        <w:rPr>
          <w:rFonts w:hAnsi="Times New Roman" w:cs="Times New Roman"/>
          <w:color w:val="000000"/>
          <w:sz w:val="24"/>
          <w:szCs w:val="24"/>
        </w:rPr>
        <w:t>5.1.5.2. Работы с куриными эмбрионами и культурами ткани следует производить в боксе. Пробки матрацев, флаконов и пробирок необходимо извлекать только над пламенем горелки. Зараженный материал следует вводить в сосуд после прокаливания краев горловины над пламенем горелки, а затем закрыть пробкой.</w:t>
      </w:r>
    </w:p>
    <w:p>
      <w:pPr>
        <w:spacing w:line="240" w:lineRule="auto"/>
        <w:rPr>
          <w:rFonts w:hAnsi="Times New Roman" w:cs="Times New Roman"/>
          <w:color w:val="000000"/>
          <w:sz w:val="24"/>
          <w:szCs w:val="24"/>
        </w:rPr>
      </w:pPr>
      <w:r>
        <w:rPr>
          <w:rFonts w:hAnsi="Times New Roman" w:cs="Times New Roman"/>
          <w:color w:val="000000"/>
          <w:sz w:val="24"/>
          <w:szCs w:val="24"/>
        </w:rPr>
        <w:t>5.1.5.3. Работу по измельчению органов, инфицированных риккетсиями или вирусами, следует производить в настольных боксах, защищающих персонал от образующихся капель; растирание и суспензирование органов - в ступке, помещенной в глухой четырехслойный марлевый чехол.</w:t>
      </w:r>
    </w:p>
    <w:p>
      <w:pPr>
        <w:spacing w:line="240" w:lineRule="auto"/>
        <w:rPr>
          <w:rFonts w:hAnsi="Times New Roman" w:cs="Times New Roman"/>
          <w:color w:val="000000"/>
          <w:sz w:val="24"/>
          <w:szCs w:val="24"/>
        </w:rPr>
      </w:pPr>
      <w:r>
        <w:rPr>
          <w:rFonts w:hAnsi="Times New Roman" w:cs="Times New Roman"/>
          <w:color w:val="000000"/>
          <w:sz w:val="24"/>
          <w:szCs w:val="24"/>
        </w:rPr>
        <w:t>5.1.5.4. Обработка эфиром взвесей риккетсий и вирусов должна производиться в отдельном стерильном вентилируемом боксе при выключенных спиртовых и газовых горелках.</w:t>
      </w:r>
    </w:p>
    <w:p>
      <w:pPr>
        <w:spacing w:line="240" w:lineRule="auto"/>
        <w:rPr>
          <w:rFonts w:hAnsi="Times New Roman" w:cs="Times New Roman"/>
          <w:color w:val="000000"/>
          <w:sz w:val="24"/>
          <w:szCs w:val="24"/>
        </w:rPr>
      </w:pPr>
      <w:r>
        <w:rPr>
          <w:rFonts w:hAnsi="Times New Roman" w:cs="Times New Roman"/>
          <w:color w:val="000000"/>
          <w:sz w:val="24"/>
          <w:szCs w:val="24"/>
        </w:rPr>
        <w:t>5.1.5.5. Жидкость для центрифугирования следует разливать в стаканчики или центрифужные пробирки из тугоплавкого стекла, плексигласа или металла и закрывать пробкой или завинчивающейся крышкой.</w:t>
      </w:r>
    </w:p>
    <w:p>
      <w:pPr>
        <w:spacing w:line="240" w:lineRule="auto"/>
        <w:rPr>
          <w:rFonts w:hAnsi="Times New Roman" w:cs="Times New Roman"/>
          <w:color w:val="000000"/>
          <w:sz w:val="24"/>
          <w:szCs w:val="24"/>
        </w:rPr>
      </w:pPr>
      <w:r>
        <w:rPr>
          <w:rFonts w:hAnsi="Times New Roman" w:cs="Times New Roman"/>
          <w:color w:val="000000"/>
          <w:sz w:val="24"/>
          <w:szCs w:val="24"/>
        </w:rPr>
        <w:t>5.1.6. При перемешивании концентрированных растворов едких щелочей необходимо надевать защитные очки, а при больших количествах растворов - также резиновые перчатки и прорезиненный фартук.</w:t>
      </w:r>
    </w:p>
    <w:p>
      <w:pPr>
        <w:spacing w:line="240" w:lineRule="auto"/>
        <w:rPr>
          <w:rFonts w:hAnsi="Times New Roman" w:cs="Times New Roman"/>
          <w:color w:val="000000"/>
          <w:sz w:val="24"/>
          <w:szCs w:val="24"/>
        </w:rPr>
      </w:pPr>
      <w:r>
        <w:rPr>
          <w:rFonts w:hAnsi="Times New Roman" w:cs="Times New Roman"/>
          <w:color w:val="000000"/>
          <w:sz w:val="24"/>
          <w:szCs w:val="24"/>
        </w:rPr>
        <w:t>5.1.7. Концентрированная азотная, серная и соляная кислоты должны храниться в лабораториях в толстостенной стеклянной посуде, емкостью не более 2 литров, в вытяжном шкафу, на поддонах. Склянки с дымящей азотной кислотой следует хранить в специальных ящиках из нержавеющей стали.</w:t>
      </w:r>
    </w:p>
    <w:p>
      <w:pPr>
        <w:spacing w:line="240" w:lineRule="auto"/>
        <w:rPr>
          <w:rFonts w:hAnsi="Times New Roman" w:cs="Times New Roman"/>
          <w:color w:val="000000"/>
          <w:sz w:val="24"/>
          <w:szCs w:val="24"/>
        </w:rPr>
      </w:pPr>
      <w:r>
        <w:rPr>
          <w:rFonts w:hAnsi="Times New Roman" w:cs="Times New Roman"/>
          <w:color w:val="000000"/>
          <w:sz w:val="24"/>
          <w:szCs w:val="24"/>
        </w:rPr>
        <w:t>5.1.8. Кислоты, щелочи и др. едкие жидкости следует разливать при помощи стеклянных сифонов с грушей или других каких-либо нагнетательных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5.1.9. Разлив концентрированных азотной, серной и соляной кислот и работа с ними должна проводиться только при включенной тяге в вытяжном шкафу. При этом дверцы вытяжных шкафов должны быть по возможности прикрыты.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5.1.10. При переноске кислот и щелочей соблюдать требования Правил по охране труда при погрузочно-разгрузочных работах и размещении грузов, утвержденных </w:t>
      </w:r>
      <w:r>
        <w:rPr>
          <w:rFonts w:hAnsi="Times New Roman" w:cs="Times New Roman"/>
          <w:color w:val="000000"/>
          <w:sz w:val="24"/>
          <w:szCs w:val="24"/>
        </w:rPr>
        <w:t>приказом Минтруда России от 28 октября 2020 года N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5.1.11. В местах хранения азотной кислоты нельзя допускать скопления пыли, соломы и др. воспламеняющихся веществ.</w:t>
      </w:r>
    </w:p>
    <w:p>
      <w:pPr>
        <w:spacing w:line="240" w:lineRule="auto"/>
        <w:rPr>
          <w:rFonts w:hAnsi="Times New Roman" w:cs="Times New Roman"/>
          <w:color w:val="000000"/>
          <w:sz w:val="24"/>
          <w:szCs w:val="24"/>
        </w:rPr>
      </w:pPr>
      <w:r>
        <w:rPr>
          <w:rFonts w:hAnsi="Times New Roman" w:cs="Times New Roman"/>
          <w:color w:val="000000"/>
          <w:sz w:val="24"/>
          <w:szCs w:val="24"/>
        </w:rPr>
        <w:t>5.1.12. При разбавлении серной кислоты ее следует медленно приливать в воду. Добавку воды в кислоту категорически запрещается. Эту операцию следует проводить в фарфоровых стаканах, т. к. она сопровождается сильным нагревом.</w:t>
      </w:r>
    </w:p>
    <w:p>
      <w:pPr>
        <w:spacing w:line="240" w:lineRule="auto"/>
        <w:rPr>
          <w:rFonts w:hAnsi="Times New Roman" w:cs="Times New Roman"/>
          <w:color w:val="000000"/>
          <w:sz w:val="24"/>
          <w:szCs w:val="24"/>
        </w:rPr>
      </w:pPr>
      <w:r>
        <w:rPr>
          <w:rFonts w:hAnsi="Times New Roman" w:cs="Times New Roman"/>
          <w:color w:val="000000"/>
          <w:sz w:val="24"/>
          <w:szCs w:val="24"/>
        </w:rPr>
        <w:t>5.1.13. Применение в качестве сифона резиновых шлангов для переливания концентрированных кислот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5.1.14. Категорически запрещается набирать кислоты и щелочи в пипетки ртом. Для этой цели следует применять резиновую грушу.</w:t>
      </w:r>
    </w:p>
    <w:p>
      <w:pPr>
        <w:spacing w:line="240" w:lineRule="auto"/>
        <w:rPr>
          <w:rFonts w:hAnsi="Times New Roman" w:cs="Times New Roman"/>
          <w:color w:val="000000"/>
          <w:sz w:val="24"/>
          <w:szCs w:val="24"/>
        </w:rPr>
      </w:pPr>
      <w:r>
        <w:rPr>
          <w:rFonts w:hAnsi="Times New Roman" w:cs="Times New Roman"/>
          <w:color w:val="000000"/>
          <w:sz w:val="24"/>
          <w:szCs w:val="24"/>
        </w:rPr>
        <w:t>5.1.15. Слив отработанной кислоты или щелочи в канализацию допускается только после предварительной нейтрализации.</w:t>
      </w:r>
    </w:p>
    <w:p>
      <w:pPr>
        <w:spacing w:line="240" w:lineRule="auto"/>
        <w:rPr>
          <w:rFonts w:hAnsi="Times New Roman" w:cs="Times New Roman"/>
          <w:color w:val="000000"/>
          <w:sz w:val="24"/>
          <w:szCs w:val="24"/>
        </w:rPr>
      </w:pPr>
      <w:r>
        <w:rPr>
          <w:rFonts w:hAnsi="Times New Roman" w:cs="Times New Roman"/>
          <w:color w:val="000000"/>
          <w:sz w:val="24"/>
          <w:szCs w:val="24"/>
        </w:rPr>
        <w:t>5.1.16. Производственные процессы с радиоактивными веществами следует выполнять в соответствии с "Нормами радиационной безопасности (НРБ-99/2009).</w:t>
      </w:r>
    </w:p>
    <w:p>
      <w:pPr>
        <w:spacing w:line="240" w:lineRule="auto"/>
        <w:rPr>
          <w:rFonts w:hAnsi="Times New Roman" w:cs="Times New Roman"/>
          <w:color w:val="000000"/>
          <w:sz w:val="24"/>
          <w:szCs w:val="24"/>
        </w:rPr>
      </w:pPr>
      <w:r>
        <w:rPr>
          <w:rFonts w:hAnsi="Times New Roman" w:cs="Times New Roman"/>
          <w:color w:val="000000"/>
          <w:sz w:val="24"/>
          <w:szCs w:val="24"/>
        </w:rPr>
        <w:t>5.1.17. При использовании ультрафиолетового излучения должны соблюдаться санитарные нормы ультрафиолетового излучения в производственных помещениях. Применять ультрафиолетовое излучение следует при наличии черного ограждения источника для защиты глаз, специальной одежды, средств защиты лица и рук, темных очков, а также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5.1.18. В лаборатории должна быть аптечка с набором медикаментов для оказания доврачебной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5.1.19.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лаборантом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просыпание (разливание) химических веществ, по причине личной неосторожности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возникновения аварийной ситуации необходимо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аварийной ситуации во время работы с инфекционным материалом следует известить о случившемся заведующего лабораторией и провести обеззараживание помещения, оборудования и предметов, которые могли быть инфицированы предпринять меры личной профилактики.</w:t>
      </w:r>
    </w:p>
    <w:p>
      <w:pPr>
        <w:spacing w:line="240" w:lineRule="auto"/>
        <w:rPr>
          <w:rFonts w:hAnsi="Times New Roman" w:cs="Times New Roman"/>
          <w:color w:val="000000"/>
          <w:sz w:val="24"/>
          <w:szCs w:val="24"/>
        </w:rPr>
      </w:pPr>
      <w:r>
        <w:rPr>
          <w:rFonts w:hAnsi="Times New Roman" w:cs="Times New Roman"/>
          <w:color w:val="000000"/>
          <w:sz w:val="24"/>
          <w:szCs w:val="24"/>
        </w:rPr>
        <w:t>Для ликвидации последствий аварии необходимо: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поверхность пола, стола, стула или прибора, загрязненную заразным материалом, залить дезинфицирующим раствором или покрыть шестислойной марлевой салфеткой, обильно смоченной в дезинфицирующем растворе и полностью перекрывающей площадь загрязнения;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загрязненные стены, боковые поверхности мебели, инвентаря, приборов и аппаратов многократно обмыть ватными и марлевыми тампонами, обильно смоченными дезинфицирующим, дегазирующим или дезактивирующим раствором;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загрязненные предметы, инструменты и материалы погрузить в бак с обеззараживающим раствором;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загрязненную одежду снять и замочить обеззараживающим раствором;</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загрязненную обувь обмыть тампонами, обильно смоченными обеззараживающим раствором.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покидать помещение без разрешения заведующего лабораторией до окончания проведения обезвреживающих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обнаружения какой-либо неисправности, нарушающей нормальный режим работы, ее необходимо остановить. Обо всех замеченных недостатках руководство предприятия (или старшего по смене) поставить в известность.</w:t>
      </w:r>
    </w:p>
    <w:p>
      <w:pPr>
        <w:spacing w:line="240" w:lineRule="auto"/>
        <w:rPr>
          <w:rFonts w:hAnsi="Times New Roman" w:cs="Times New Roman"/>
          <w:color w:val="000000"/>
          <w:sz w:val="24"/>
          <w:szCs w:val="24"/>
        </w:rPr>
      </w:pPr>
      <w:r>
        <w:rPr>
          <w:rFonts w:hAnsi="Times New Roman" w:cs="Times New Roman"/>
          <w:color w:val="000000"/>
          <w:sz w:val="24"/>
          <w:szCs w:val="24"/>
        </w:rPr>
        <w:t>6.2.4. При внезапном прекращении подачи электроэнергии следует отключить электрооборудование от электросети, после чего принять все необходимые меры.</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завершения работ с патогенными бактериями и инфицированным материалом должны быть проведены дезинфекционные мероприятия.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810269d66094c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