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маляра по металлу (гальваника)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маляра по металлу (гальваника).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маляром по металлу (гальваника)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заготовок;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абразивных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воздухе рабочей зоны вредных аэрозолей;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 кислот, щелочей, токсичных электролитов и растворов;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заготовок, деталей;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исправности технологического оборудования, наличии и исправности (целостности) применяемого инвентаря, приспособлений,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4.4.4. Проконтролировать наличие и достаточность химических веществ, реактивов, растворов, электролитов,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маляру по металлу (гальванику)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электрическим, нагревательным и иным оборудованием, контрольно-измерительными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ведении процесса подготовки (очистки) поверхностей заготовок, нанесении на них гальванических покрытий, предупреждении и устранении неисправностей,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производить в соответствии с технологической документацией 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Запуск установок и машин осуществлять только указанным в руководстве по эксплуатации оборудования способом, предварительно подав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5.1.10. Рабочее место выбирать с таким расчетом, чтобы обеспечивался максимальный обзор пульта управления, средств сигнализации, блокировочных устройств. При этом располагаться таким образом, чтобы не подвергаться воздействию разлетающихся частиц, высокой температуры, вредных газов и пр.</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показаниями приборов, постоянно проверять исправность и эффективность устройств защиты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5.1.12. Управлять технологическим процессом, правильно выбирать режимы работы, своевременно выявлять неисправности, устранять причины, их порождающие.</w:t>
      </w:r>
    </w:p>
    <w:p>
      <w:pPr>
        <w:spacing w:line="240" w:lineRule="auto"/>
        <w:rPr>
          <w:rFonts w:hAnsi="Times New Roman" w:cs="Times New Roman"/>
          <w:color w:val="000000"/>
          <w:sz w:val="24"/>
          <w:szCs w:val="24"/>
        </w:rPr>
      </w:pPr>
      <w:r>
        <w:rPr>
          <w:rFonts w:hAnsi="Times New Roman" w:cs="Times New Roman"/>
          <w:color w:val="000000"/>
          <w:sz w:val="24"/>
          <w:szCs w:val="24"/>
        </w:rPr>
        <w:t>5.1.13. Останавливать оборудование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на галтовочном оборудовании, шлифовально-полировальных, крацевальных и иных станках механической обработки применять средства защиты органов зрения (очки, экраны), слуха (очки, беруши), а при необходимости органов дыхания (респиратор и пр.).</w:t>
      </w:r>
    </w:p>
    <w:p>
      <w:pPr>
        <w:spacing w:line="240" w:lineRule="auto"/>
        <w:rPr>
          <w:rFonts w:hAnsi="Times New Roman" w:cs="Times New Roman"/>
          <w:color w:val="000000"/>
          <w:sz w:val="24"/>
          <w:szCs w:val="24"/>
        </w:rPr>
      </w:pPr>
      <w:r>
        <w:rPr>
          <w:rFonts w:hAnsi="Times New Roman" w:cs="Times New Roman"/>
          <w:color w:val="000000"/>
          <w:sz w:val="24"/>
          <w:szCs w:val="24"/>
        </w:rPr>
        <w:t>5.1.16. Работы по приготовлению растворов и электролитов производить по наряду-допуску, в составе бригады, под надзором ответственного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5.1.17. Растворение щелочи осуществлять небольшими порциями в холодной воде при непрерывном перемешивании. Куски щелочи добавлять медленным их погружением при помощи щипцов или сеток.</w:t>
      </w:r>
    </w:p>
    <w:p>
      <w:pPr>
        <w:spacing w:line="240" w:lineRule="auto"/>
        <w:rPr>
          <w:rFonts w:hAnsi="Times New Roman" w:cs="Times New Roman"/>
          <w:color w:val="000000"/>
          <w:sz w:val="24"/>
          <w:szCs w:val="24"/>
        </w:rPr>
      </w:pPr>
      <w:r>
        <w:rPr>
          <w:rFonts w:hAnsi="Times New Roman" w:cs="Times New Roman"/>
          <w:color w:val="000000"/>
          <w:sz w:val="24"/>
          <w:szCs w:val="24"/>
        </w:rPr>
        <w:t>5.1.18. При разливе концентрированных растворов щелочей (едкого натра, едкого калия и др.) засыпать их песком или древесными опилками, а после удаления песка, опилок места разлива промывать слабым раствором уксусной кислоты, после чего насухо вытирать.</w:t>
      </w:r>
    </w:p>
    <w:p>
      <w:pPr>
        <w:spacing w:line="240" w:lineRule="auto"/>
        <w:rPr>
          <w:rFonts w:hAnsi="Times New Roman" w:cs="Times New Roman"/>
          <w:color w:val="000000"/>
          <w:sz w:val="24"/>
          <w:szCs w:val="24"/>
        </w:rPr>
      </w:pPr>
      <w:r>
        <w:rPr>
          <w:rFonts w:hAnsi="Times New Roman" w:cs="Times New Roman"/>
          <w:color w:val="000000"/>
          <w:sz w:val="24"/>
          <w:szCs w:val="24"/>
        </w:rPr>
        <w:t>5.1.19. Приготовление растворов для травления металлов проводить путем добавления к воде различных кислот. При приготовлении раствора из смеси кислот вливать кислоты в порядке возрастания их плотности. Разбавляя кислоты, вливать их только в холодную воду тонкой струей.</w:t>
      </w:r>
    </w:p>
    <w:p>
      <w:pPr>
        <w:spacing w:line="240" w:lineRule="auto"/>
        <w:rPr>
          <w:rFonts w:hAnsi="Times New Roman" w:cs="Times New Roman"/>
          <w:color w:val="000000"/>
          <w:sz w:val="24"/>
          <w:szCs w:val="24"/>
        </w:rPr>
      </w:pPr>
      <w:r>
        <w:rPr>
          <w:rFonts w:hAnsi="Times New Roman" w:cs="Times New Roman"/>
          <w:color w:val="000000"/>
          <w:sz w:val="24"/>
          <w:szCs w:val="24"/>
        </w:rPr>
        <w:t>5.1.20. Переливание кислот, щелочей и других едких жидкостей, заполнение ванн рабочими растворами производить механизированным способом (насосом и др.). Не допускать разбрызгивания жидкости. Работу выполнять в защитных очках, резиновых перчатках, фартуке, сапогах.</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переливании кислоты, щелочи непосредственно из бутыли в ванну надевать на горловину бутыли специальную насадку, предотвращающую разбрызгивание жидкости. Бутыли помещать в специальное приспособление, исключающее их опрокидывание и (или) раскалывание, а также обеспечивающее медленное и плавное переливание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5.1.22. При опорожнении бутыли не оставлять в ней жидкость. Для переноса бутылей использовать специальное приспособление или упаковочную тару.</w:t>
      </w:r>
    </w:p>
    <w:p>
      <w:pPr>
        <w:spacing w:line="240" w:lineRule="auto"/>
        <w:rPr>
          <w:rFonts w:hAnsi="Times New Roman" w:cs="Times New Roman"/>
          <w:color w:val="000000"/>
          <w:sz w:val="24"/>
          <w:szCs w:val="24"/>
        </w:rPr>
      </w:pPr>
      <w:r>
        <w:rPr>
          <w:rFonts w:hAnsi="Times New Roman" w:cs="Times New Roman"/>
          <w:color w:val="000000"/>
          <w:sz w:val="24"/>
          <w:szCs w:val="24"/>
        </w:rPr>
        <w:t>5.1.23. В случае разлива кислот засыпать места разлива известью или содой, заливать их водой, после чего насухо вытирать.</w:t>
      </w:r>
    </w:p>
    <w:p>
      <w:pPr>
        <w:spacing w:line="240" w:lineRule="auto"/>
        <w:rPr>
          <w:rFonts w:hAnsi="Times New Roman" w:cs="Times New Roman"/>
          <w:color w:val="000000"/>
          <w:sz w:val="24"/>
          <w:szCs w:val="24"/>
        </w:rPr>
      </w:pPr>
      <w:r>
        <w:rPr>
          <w:rFonts w:hAnsi="Times New Roman" w:cs="Times New Roman"/>
          <w:color w:val="000000"/>
          <w:sz w:val="24"/>
          <w:szCs w:val="24"/>
        </w:rPr>
        <w:t>5.1.24. Приготовление растворов с сильнодействующими ядовитыми веществами (цианистых и иных) производить в отдельных помещениях, на специальных рабочих местах с эффективной местной вытяжной вентиляцией. Работу выполнять в перчатках, противогазе или маске с фильтром, фартуке.</w:t>
      </w:r>
    </w:p>
    <w:p>
      <w:pPr>
        <w:spacing w:line="240" w:lineRule="auto"/>
        <w:rPr>
          <w:rFonts w:hAnsi="Times New Roman" w:cs="Times New Roman"/>
          <w:color w:val="000000"/>
          <w:sz w:val="24"/>
          <w:szCs w:val="24"/>
        </w:rPr>
      </w:pPr>
      <w:r>
        <w:rPr>
          <w:rFonts w:hAnsi="Times New Roman" w:cs="Times New Roman"/>
          <w:color w:val="000000"/>
          <w:sz w:val="24"/>
          <w:szCs w:val="24"/>
        </w:rPr>
        <w:t>5.1.25. Работы по изготовлению цианистых и иных растворов с сильнодействующими ядовитыми веществами осуществлять в присутствии специальной комиссии.</w:t>
      </w:r>
    </w:p>
    <w:p>
      <w:pPr>
        <w:spacing w:line="240" w:lineRule="auto"/>
        <w:rPr>
          <w:rFonts w:hAnsi="Times New Roman" w:cs="Times New Roman"/>
          <w:color w:val="000000"/>
          <w:sz w:val="24"/>
          <w:szCs w:val="24"/>
        </w:rPr>
      </w:pPr>
      <w:r>
        <w:rPr>
          <w:rFonts w:hAnsi="Times New Roman" w:cs="Times New Roman"/>
          <w:color w:val="000000"/>
          <w:sz w:val="24"/>
          <w:szCs w:val="24"/>
        </w:rPr>
        <w:t>5.1.26. В случае разлития цианистых растворов нейтрализовать их 10% раствором железного купороса и 10% раствором свежегашеной извести или кальцинированной соды.</w:t>
      </w:r>
    </w:p>
    <w:p>
      <w:pPr>
        <w:spacing w:line="240" w:lineRule="auto"/>
        <w:rPr>
          <w:rFonts w:hAnsi="Times New Roman" w:cs="Times New Roman"/>
          <w:color w:val="000000"/>
          <w:sz w:val="24"/>
          <w:szCs w:val="24"/>
        </w:rPr>
      </w:pPr>
      <w:r>
        <w:rPr>
          <w:rFonts w:hAnsi="Times New Roman" w:cs="Times New Roman"/>
          <w:color w:val="000000"/>
          <w:sz w:val="24"/>
          <w:szCs w:val="24"/>
        </w:rPr>
        <w:t>5.1.27. Во избежание образования цианистого водорода (синильной кислоты) не допускать контакта водных растворов цианидов с кислотами.</w:t>
      </w:r>
    </w:p>
    <w:p>
      <w:pPr>
        <w:spacing w:line="240" w:lineRule="auto"/>
        <w:rPr>
          <w:rFonts w:hAnsi="Times New Roman" w:cs="Times New Roman"/>
          <w:color w:val="000000"/>
          <w:sz w:val="24"/>
          <w:szCs w:val="24"/>
        </w:rPr>
      </w:pPr>
      <w:r>
        <w:rPr>
          <w:rFonts w:hAnsi="Times New Roman" w:cs="Times New Roman"/>
          <w:color w:val="000000"/>
          <w:sz w:val="24"/>
          <w:szCs w:val="24"/>
        </w:rPr>
        <w:t>Заготовки, подлежащие покрытию в цианистых ваннах, тщательно промывать от кислоты.</w:t>
      </w:r>
    </w:p>
    <w:p>
      <w:pPr>
        <w:spacing w:line="240" w:lineRule="auto"/>
        <w:rPr>
          <w:rFonts w:hAnsi="Times New Roman" w:cs="Times New Roman"/>
          <w:color w:val="000000"/>
          <w:sz w:val="24"/>
          <w:szCs w:val="24"/>
        </w:rPr>
      </w:pPr>
      <w:r>
        <w:rPr>
          <w:rFonts w:hAnsi="Times New Roman" w:cs="Times New Roman"/>
          <w:color w:val="000000"/>
          <w:sz w:val="24"/>
          <w:szCs w:val="24"/>
        </w:rPr>
        <w:t>5.1.28. Осмотр и закрепление обрабатываемых заготовок в приспособления выполнять в стороне от ванны.</w:t>
      </w:r>
    </w:p>
    <w:p>
      <w:pPr>
        <w:spacing w:line="240" w:lineRule="auto"/>
        <w:rPr>
          <w:rFonts w:hAnsi="Times New Roman" w:cs="Times New Roman"/>
          <w:color w:val="000000"/>
          <w:sz w:val="24"/>
          <w:szCs w:val="24"/>
        </w:rPr>
      </w:pPr>
      <w:r>
        <w:rPr>
          <w:rFonts w:hAnsi="Times New Roman" w:cs="Times New Roman"/>
          <w:color w:val="000000"/>
          <w:sz w:val="24"/>
          <w:szCs w:val="24"/>
        </w:rPr>
        <w:t>5.1.29. Перед погружением заготовок в ванну убедиться в прочности их крепления на крюках, подвесках, укладки в корзинах.</w:t>
      </w:r>
    </w:p>
    <w:p>
      <w:pPr>
        <w:spacing w:line="240" w:lineRule="auto"/>
        <w:rPr>
          <w:rFonts w:hAnsi="Times New Roman" w:cs="Times New Roman"/>
          <w:color w:val="000000"/>
          <w:sz w:val="24"/>
          <w:szCs w:val="24"/>
        </w:rPr>
      </w:pPr>
      <w:r>
        <w:rPr>
          <w:rFonts w:hAnsi="Times New Roman" w:cs="Times New Roman"/>
          <w:color w:val="000000"/>
          <w:sz w:val="24"/>
          <w:szCs w:val="24"/>
        </w:rPr>
        <w:t>5.1.30. Погружать заготовки в ванны и извлекать их при снятом напряжении, плавно, избегая разбрызгивания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5.1.31. Для извлечения из ванн упавших деталей пользоваться магнитами, щипцами, совками с длинными ручками, другими специальными приспособлениями. Избегать контакта с раствором открытых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5.1.32. Для погружения и извлечения тяжелых (массой более 15 кг) заготовок пользоваться исправным подъемно-транспортным оборудованием соответствующей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5.1.33. Грузоподъемные работы выполнять согласно Правилам по охране труда при погрузочно-разгрузочных работах и размещении грузов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5.1.34. При проведении грузоподъемных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крюк подъемного механизма над грузом так, чтобы при подъеме исключалось косое натяжение грузового каната;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строповку груза производить в соответствии со схемой строповки для данного груза;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застрапливать и отцеплять груз только после полной остановки грузового каната, его ослабления и при опущенной крюковой подвеске или траверсе;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предварительно приподнимать его на высоту не более 200–300 мм, чтобы убедиться в правильности строповки и надежности действия тормозов;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и перемещение груза осуществлять только при отсутствии людей в зоне работы подъемного механизма, предварительно подавать предупредительный сигнал;</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 горизонтальном направлении грузы предварительно приподнимать на 500 мм выше встречающихся на пути предметов;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следить за канатами. Останавливать работу подъемного механизма при спадании их с барабанов или блоков, образовании петель или обнаружении повреждений канатов;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предназначенное для этого место, где исключается возможность его падения, опрокидывания или сползания;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опускание, перемещение груза, торможение при всех перемещениях производить плавно, без рывков;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сигнал «Стоп», кто бы его ни подавал.</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процесса гальванопокрытия держать крышку ванны закрытой, следить за уровнем электролита, контролировать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5.1.37. Оценку качества изделий производить после их остывания до температуры не выше 45 °С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5.1.38. Осмотр, регулировку, устранение неполадок осуществлять только при отключении оборудования от сети, остывания нагретых поверхностей, слива раствора (электролита)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5.1.39.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5.1.40.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5.1.42. Заметив нарушение требований охраны труда другим работником, маляру по металлу (гальванику)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5.1.48. При выполнении работ маляру (гальванику)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вливать воду в кислоту;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добавлять кислоту в воду, нагретую выше 20 °С;</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добавки химикатов в ванну без разрешения ответственного лица;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разливать кислоты и щелочи по ваннам наклоном бутылей;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погружать в ванны загрязненные и сырые заготовки;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сливать в канализацию отработанные растворы и электролиты;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яды и другие химикаты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тереть глаза, касаться слизистых оболочек при производстве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повреждениями кожного покрова без заключения врача;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без присмотра;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употреблять алкогольные и слабоалкогольные напитки, наркотические вещества;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маляру по металлу (гальванику)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6.3.2. При выполнении работ маляр по металлу (гальваник) должен немедленно остановить оборудование при появлении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маляру по металлу (гальванику)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6.3.5. При поражении электрическим током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тока от пострадавшего. Сделать это нужно сухой веревкой, палкой и др. Нельзя касаться пострадавшего, находящегося под действием тока, руками.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пострадавшего. Внешние повреждения необходимо обработать и закрыть повязкой;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6.3.6. При ожогах: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нарушения целостности ожоговых пузырей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нарушением целостности ожоговых пузырей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6.3.7. При отравлении токсичными веществами: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покинуть рабочее место и выйти на свежий воздух.</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оснастку, тару промыть и убрать в предназначенные для их хранения места. Оборудование, применявшееся в работе с сильнодействующими ядовитыми веществами, промыть обезвреживающим составом, водой и убрать в отдельное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a07b4d7f53241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