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машиниста агрегата для депарафинизации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агрегата для депарафинизации.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машинистом агрегата для депарафинизации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и давление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влажность;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освещенность;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предельные углеводороды;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высокое давление рабочей среды в системе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работы машинист должен убедиться в исправности и работоспособности всех узлов и систем управления, исправности приборов безопасности, КИПиА.</w:t>
      </w:r>
    </w:p>
    <w:p>
      <w:pPr>
        <w:spacing w:line="240" w:lineRule="auto"/>
        <w:rPr>
          <w:rFonts w:hAnsi="Times New Roman" w:cs="Times New Roman"/>
          <w:color w:val="000000"/>
          <w:sz w:val="24"/>
          <w:szCs w:val="24"/>
        </w:rPr>
      </w:pPr>
      <w:r>
        <w:rPr>
          <w:rFonts w:hAnsi="Times New Roman" w:cs="Times New Roman"/>
          <w:color w:val="000000"/>
          <w:sz w:val="24"/>
          <w:szCs w:val="24"/>
        </w:rPr>
        <w:t>4.1.2. При использовании гибких рукавов для пропарочных работ необходимо убедиться в целостности последнего, крепление к пропарочному пистолету должно быть надежным, выполнено хомутом.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заездом на куст установить искрогаситель.</w:t>
      </w:r>
    </w:p>
    <w:p>
      <w:pPr>
        <w:spacing w:line="240" w:lineRule="auto"/>
        <w:rPr>
          <w:rFonts w:hAnsi="Times New Roman" w:cs="Times New Roman"/>
          <w:color w:val="000000"/>
          <w:sz w:val="24"/>
          <w:szCs w:val="24"/>
        </w:rPr>
      </w:pPr>
      <w:r>
        <w:rPr>
          <w:rFonts w:hAnsi="Times New Roman" w:cs="Times New Roman"/>
          <w:color w:val="000000"/>
          <w:sz w:val="24"/>
          <w:szCs w:val="24"/>
        </w:rPr>
        <w:t>4.2.2. Перед выездом на объект машинист должен получить письменное задание у ответственного лица с отметкой в вахтовом журнале/номер на месте куста, скважины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Производство работ: проверить наличие подготовленной площадки, подъездных путей, убедиться в отсутствии замазученности. В случае обнаружения нарушений записать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4.4.2. К выполнению задания приступать только при получении разрешения с записью в вахтенном журнале ответственного лица.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Агрегат для депарафинизации (при повышении нефтегазоотдачи пластов и производительности скважин, при депарафинизации труб и оборудования) необходимо располагать на расстоянии не менее 25 метров до устья скважины и 10 метров от другого оборудования, кабина располагается от устья скважины. При пропаривании выкидного трубопровода подходить к нему и к устью скважины на расстояние менее 10 метров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Перед сборкой нагнетательной или промывочной линии убедиться в наличии прохода в элементах манифольда и пропарочной линии.</w:t>
      </w:r>
    </w:p>
    <w:p>
      <w:pPr>
        <w:spacing w:line="240" w:lineRule="auto"/>
        <w:rPr>
          <w:rFonts w:hAnsi="Times New Roman" w:cs="Times New Roman"/>
          <w:color w:val="000000"/>
          <w:sz w:val="24"/>
          <w:szCs w:val="24"/>
        </w:rPr>
      </w:pPr>
      <w:r>
        <w:rPr>
          <w:rFonts w:hAnsi="Times New Roman" w:cs="Times New Roman"/>
          <w:color w:val="000000"/>
          <w:sz w:val="24"/>
          <w:szCs w:val="24"/>
        </w:rPr>
        <w:t>5.1.3. При закачке химреагентов, пара, горячей воды на нагнетательной линии у устья скважины должен быть установлен обратный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с гибким рукавом не допускать перегибов и наездов техники на пропарочную линию.</w:t>
      </w:r>
    </w:p>
    <w:p>
      <w:pPr>
        <w:spacing w:line="240" w:lineRule="auto"/>
        <w:rPr>
          <w:rFonts w:hAnsi="Times New Roman" w:cs="Times New Roman"/>
          <w:color w:val="000000"/>
          <w:sz w:val="24"/>
          <w:szCs w:val="24"/>
        </w:rPr>
      </w:pPr>
      <w:r>
        <w:rPr>
          <w:rFonts w:hAnsi="Times New Roman" w:cs="Times New Roman"/>
          <w:color w:val="000000"/>
          <w:sz w:val="24"/>
          <w:szCs w:val="24"/>
        </w:rPr>
        <w:t>5.1.5. Гибкий рукав для пропарочной линии должен быть без стыков.</w:t>
      </w:r>
    </w:p>
    <w:p>
      <w:pPr>
        <w:spacing w:line="240" w:lineRule="auto"/>
        <w:rPr>
          <w:rFonts w:hAnsi="Times New Roman" w:cs="Times New Roman"/>
          <w:color w:val="000000"/>
          <w:sz w:val="24"/>
          <w:szCs w:val="24"/>
        </w:rPr>
      </w:pPr>
      <w:r>
        <w:rPr>
          <w:rFonts w:hAnsi="Times New Roman" w:cs="Times New Roman"/>
          <w:color w:val="000000"/>
          <w:sz w:val="24"/>
          <w:szCs w:val="24"/>
        </w:rPr>
        <w:t>5.1.6. В целях безопасности необходимо содержать агрегат для депарафинизации в чистоте, следить за отсутствием пропусков в трубопроводах горючего и не допускать замазученности.</w:t>
      </w:r>
    </w:p>
    <w:p>
      <w:pPr>
        <w:spacing w:line="240" w:lineRule="auto"/>
        <w:rPr>
          <w:rFonts w:hAnsi="Times New Roman" w:cs="Times New Roman"/>
          <w:color w:val="000000"/>
          <w:sz w:val="24"/>
          <w:szCs w:val="24"/>
        </w:rPr>
      </w:pPr>
      <w:r>
        <w:rPr>
          <w:rFonts w:hAnsi="Times New Roman" w:cs="Times New Roman"/>
          <w:color w:val="000000"/>
          <w:sz w:val="24"/>
          <w:szCs w:val="24"/>
        </w:rPr>
        <w:t>5.1.7. Техническое обслуживание и ремонт агрегата производить при выключенной установке и двигателе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агрегат для депарафинизации под силовыми и осветительными электролиниями;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повышать температуру пара прерыванием подачи топлива к форсунке во избежание взрыва в топочной камере котла;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котла с неподрывными или неотрегулированными предохранительными клапанами;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резиновые рукава;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агрегат для депарафинизации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5.1.9. Запуск агрегата для депарафинизации и порядок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выставить знак "Идет тепловая обработка";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собрать нагнетательную линию и опрессовать ее в 1,5 Р ожидаемого;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наличия пропусков остановить установки, подтянуть соединения, снизив давление в нагнетательной линии до атмосферного;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создать требуемое давление в змеевиках парогенераторов;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контроль за давлением осуществлять по манометру.</w:t>
      </w:r>
    </w:p>
    <w:p>
      <w:pPr>
        <w:spacing w:line="240" w:lineRule="auto"/>
        <w:rPr>
          <w:rFonts w:hAnsi="Times New Roman" w:cs="Times New Roman"/>
          <w:color w:val="000000"/>
          <w:sz w:val="24"/>
          <w:szCs w:val="24"/>
        </w:rPr>
      </w:pPr>
      <w:r>
        <w:rPr>
          <w:rFonts w:hAnsi="Times New Roman" w:cs="Times New Roman"/>
          <w:color w:val="000000"/>
          <w:sz w:val="24"/>
          <w:szCs w:val="24"/>
        </w:rPr>
        <w:t>5.1.10. Перед розжигом парогенератора необходимо провести продувку парогенератора.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5.1.11. После розжига отрегулировать давление топлива и установить нормальное давление без дыма или светло-серый дым.</w:t>
      </w:r>
    </w:p>
    <w:p>
      <w:pPr>
        <w:spacing w:line="240" w:lineRule="auto"/>
        <w:rPr>
          <w:rFonts w:hAnsi="Times New Roman" w:cs="Times New Roman"/>
          <w:color w:val="000000"/>
          <w:sz w:val="24"/>
          <w:szCs w:val="24"/>
        </w:rPr>
      </w:pPr>
      <w:r>
        <w:rPr>
          <w:rFonts w:hAnsi="Times New Roman" w:cs="Times New Roman"/>
          <w:color w:val="000000"/>
          <w:sz w:val="24"/>
          <w:szCs w:val="24"/>
        </w:rPr>
        <w:t>5.1.12. В рабочем парогенераторе необходимо поддерживать постоянное давление пара при подаче потребителю.</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следить за показаниями манометра и работой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пропаривании выкидного трубопровода не допускается подходить к нему и к устью скважины на расстояние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5.1.15. Для подачи теплоносителя под давлением запрещается применять резиновые рукава.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работать, если на манометре: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отсутствует пломба или клеймо;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 срок проверки;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стрелка не возвращается к нулевому показателю шкалы на величину, превышающую половину допустимой погрешности для заданного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5.2.2. Не реже одного раза в смену производить подрыв предохранительных клапанов для проверки их работоспособности, а также очистку сажи путем пуска пара в сажесдуватель.</w:t>
      </w:r>
    </w:p>
    <w:p>
      <w:pPr>
        <w:spacing w:line="240" w:lineRule="auto"/>
        <w:rPr>
          <w:rFonts w:hAnsi="Times New Roman" w:cs="Times New Roman"/>
          <w:color w:val="000000"/>
          <w:sz w:val="24"/>
          <w:szCs w:val="24"/>
        </w:rPr>
      </w:pPr>
      <w:r>
        <w:rPr>
          <w:rFonts w:hAnsi="Times New Roman" w:cs="Times New Roman"/>
          <w:color w:val="000000"/>
          <w:sz w:val="24"/>
          <w:szCs w:val="24"/>
        </w:rPr>
        <w:t>5.2.3. Во время работы не повышать температуру пара свыше 310, давление пара – не выше 10 Мпа – 100 м/см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Безопасное обращение с паром </w:t>
      </w:r>
    </w:p>
    <w:p>
      <w:pPr>
        <w:spacing w:line="240" w:lineRule="auto"/>
        <w:rPr>
          <w:rFonts w:hAnsi="Times New Roman" w:cs="Times New Roman"/>
          <w:color w:val="000000"/>
          <w:sz w:val="24"/>
          <w:szCs w:val="24"/>
        </w:rPr>
      </w:pPr>
      <w:r>
        <w:rPr>
          <w:rFonts w:hAnsi="Times New Roman" w:cs="Times New Roman"/>
          <w:color w:val="000000"/>
          <w:sz w:val="24"/>
          <w:szCs w:val="24"/>
        </w:rPr>
        <w:t>5.2.4. Паропровод от парового котла до парового шланга должен быть прочным, плотным и теплоизолированным по всей длине.</w:t>
      </w:r>
    </w:p>
    <w:p>
      <w:pPr>
        <w:spacing w:line="240" w:lineRule="auto"/>
        <w:rPr>
          <w:rFonts w:hAnsi="Times New Roman" w:cs="Times New Roman"/>
          <w:color w:val="000000"/>
          <w:sz w:val="24"/>
          <w:szCs w:val="24"/>
        </w:rPr>
      </w:pPr>
      <w:r>
        <w:rPr>
          <w:rFonts w:hAnsi="Times New Roman" w:cs="Times New Roman"/>
          <w:color w:val="000000"/>
          <w:sz w:val="24"/>
          <w:szCs w:val="24"/>
        </w:rPr>
        <w:t>5.2.5. Для доставки пара к местам обогрева должен применяться паровой шланг. Шланг должен иметь металлический наконечник длиной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5.2.6. На паровом шланге не должно быть запорных устройств. Все вентили должны устанавливаться на металлическом паропроводе.</w:t>
      </w:r>
    </w:p>
    <w:p>
      <w:pPr>
        <w:spacing w:line="240" w:lineRule="auto"/>
        <w:rPr>
          <w:rFonts w:hAnsi="Times New Roman" w:cs="Times New Roman"/>
          <w:color w:val="000000"/>
          <w:sz w:val="24"/>
          <w:szCs w:val="24"/>
        </w:rPr>
      </w:pPr>
      <w:r>
        <w:rPr>
          <w:rFonts w:hAnsi="Times New Roman" w:cs="Times New Roman"/>
          <w:color w:val="000000"/>
          <w:sz w:val="24"/>
          <w:szCs w:val="24"/>
        </w:rPr>
        <w:t>5.2.7. Паровой шланг необходимо крепить к паропроводу при помощи металлических хомутиков.</w:t>
      </w:r>
    </w:p>
    <w:p>
      <w:pPr>
        <w:spacing w:line="240" w:lineRule="auto"/>
        <w:rPr>
          <w:rFonts w:hAnsi="Times New Roman" w:cs="Times New Roman"/>
          <w:color w:val="000000"/>
          <w:sz w:val="24"/>
          <w:szCs w:val="24"/>
        </w:rPr>
      </w:pPr>
      <w:r>
        <w:rPr>
          <w:rFonts w:hAnsi="Times New Roman" w:cs="Times New Roman"/>
          <w:color w:val="000000"/>
          <w:sz w:val="24"/>
          <w:szCs w:val="24"/>
        </w:rPr>
        <w:t>5.2.8. При отогреве замерзших предметов необходимо находиться на расстоянии не менее 1 метра от места выхода струи пара с противоположной стороны движения пара.</w:t>
      </w:r>
    </w:p>
    <w:p>
      <w:pPr>
        <w:spacing w:line="240" w:lineRule="auto"/>
        <w:rPr>
          <w:rFonts w:hAnsi="Times New Roman" w:cs="Times New Roman"/>
          <w:color w:val="000000"/>
          <w:sz w:val="24"/>
          <w:szCs w:val="24"/>
        </w:rPr>
      </w:pPr>
      <w:r>
        <w:rPr>
          <w:rFonts w:hAnsi="Times New Roman" w:cs="Times New Roman"/>
          <w:color w:val="000000"/>
          <w:sz w:val="24"/>
          <w:szCs w:val="24"/>
        </w:rPr>
        <w:t>5.2.9. Для подогрева воды в сосудах, радиаторах необходимо применять герметичную систему обвязки, чтобы избежать самопроизвольного вылетания шланга из сосуда и радиатора.</w:t>
      </w:r>
    </w:p>
    <w:p>
      <w:pPr>
        <w:spacing w:line="240" w:lineRule="auto"/>
        <w:rPr>
          <w:rFonts w:hAnsi="Times New Roman" w:cs="Times New Roman"/>
          <w:color w:val="000000"/>
          <w:sz w:val="24"/>
          <w:szCs w:val="24"/>
        </w:rPr>
      </w:pPr>
      <w:r>
        <w:rPr>
          <w:rFonts w:hAnsi="Times New Roman" w:cs="Times New Roman"/>
          <w:color w:val="000000"/>
          <w:sz w:val="24"/>
          <w:szCs w:val="24"/>
        </w:rPr>
        <w:t>5.2.10. При отогреве оборудования на высоте нельзя стоять под местом отогрева.</w:t>
      </w:r>
    </w:p>
    <w:p>
      <w:pPr>
        <w:spacing w:line="240" w:lineRule="auto"/>
        <w:rPr>
          <w:rFonts w:hAnsi="Times New Roman" w:cs="Times New Roman"/>
          <w:color w:val="000000"/>
          <w:sz w:val="24"/>
          <w:szCs w:val="24"/>
        </w:rPr>
      </w:pPr>
      <w:r>
        <w:rPr>
          <w:rFonts w:hAnsi="Times New Roman" w:cs="Times New Roman"/>
          <w:color w:val="000000"/>
          <w:sz w:val="24"/>
          <w:szCs w:val="24"/>
        </w:rPr>
        <w:t>5.2.11. Нельзя направлять шланг в сторону нахождения людей и прекращать свободный выход пара из парового шланга методом перегиба шланга.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а также ситуации, угрожающей здоровью или жизни работника, необходимо как можно быстрее исключить действие опасного источника (отключить рубильник, остановить работу оборудования), а при необходимости вывести или вынести пострадавшего из опасной зоны и оказать 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загорания, воспламенения, пожара необходимо немедленно вызвать пожарную службу и приступить к тушению огня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все инструменты и приспособления должны быть уложены на свои места и надежно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7.2.2. Перемещение агрегата для депарафинизации своим ходом по дорогам на месторождении – не более 30 км/час, а по асфальтным дорогам – не более 50 км/час.</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возращения с объекта в гараж проверить исправность а/м, поставить на стоянку и обесточить «через массу» электрооборудование а/м.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73cceddc0414c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