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бумагокрасильной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бумагокрасильной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бумагокрасильной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бумагокрасильной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бумагокрасильной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бумагокрасильной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04.12.2020 N 859н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целлюлозно-бумажной и лесохимической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машиниста бумагокрасильной машины (далее –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конструкцию и принцип работы бумагокрасильной машины и технологию производства бумажных мешков; технические условия на мешки; причины и виды брака и меры его предупреждения и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машиниста бумагокрасильной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машиниста бумагокрасильной машины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бумагокрасильной машины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срыва рулона заправка его на станок должна производиться при плотной установке металлической втулки на кулаки.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 загрузочных отверстий краскотерок должны быть установлены защитные устройства, предотвращающие попадание рук работников в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Размеры контрольных и загрузочных отверстий краскосмесителей должны исключать возможность попадания рук работников в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регулировка процесса сушки бумаги путем открывания окон в камерах предварительной сушки и промывка корытных и красконаносных валов на ходу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производстве бумаги с полиэтиленовым покрытием заправку бумаги допускается производить на скорости до 15 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Подачу расплавленного полиэтилена разрешается производить только при включении охлаждения на цилиндре и отсутствии работников на рельсах передвижной тележки экструдера.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производстве карбонированных и парафинированных видов бумаги подача парафина и красок в ванны машин должна быть механизирована.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Парафинирование бумаги должно производиться на теплоизолированной парафинирующей машине с закрытой системой подачи парафина.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контактном способе пропитки фильтр-картона заправка бумажного полотна должна производиться на ходу пропиточной машины не менее чем двумя работниками при скорости машины не более 10 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Заправку (путем опускания в раствор) пропиточного устройства допускается производить только при остановленной машине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Пропиточная машина должна быть оборудована устройством для снятия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Над пропиточным устройством, каландром, охладительной зоной пропиточной машины должны быть установлены колпаки с отсосом от них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Пропиточная машина должна быть оборудована блокировкой, отключающей ее при прекращении работы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52ca7b70d640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