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машиниста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паровой передвижной установки ППУА-1600/100</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машиниста паровой передвижной установки ППУА-1600/100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2.1.1 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w:t>
      </w:r>
      <w:r>
        <w:rPr>
          <w:rFonts w:hAnsi="Times New Roman" w:cs="Times New Roman"/>
          <w:b/>
          <w:bCs/>
          <w:color w:val="000000"/>
          <w:sz w:val="24"/>
          <w:szCs w:val="24"/>
        </w:rPr>
        <w:t>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машиниста паровой передвижной установки ППУА-1600/100.</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машинистом паровой передвижной установки ППУА-1600/100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единицы внешней механической работы за смену (кг·м);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поднимаемого и перемещаемого груза вручную (кг);</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стереотипные рабочие движения (количество за смену);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величина статической нагрузки за смену при удержании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приложение усилий (кгс·с);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рабочая поза;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сложные факторы комбинации рабочей среды.</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рабочий по озеленению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w:t>
      </w:r>
      <w:r>
        <w:rPr>
          <w:rFonts w:hAnsi="Times New Roman" w:cs="Times New Roman"/>
          <w:b/>
          <w:bCs/>
          <w:color w:val="000000"/>
          <w:sz w:val="24"/>
          <w:szCs w:val="24"/>
        </w:rPr>
        <w:t>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4.1.1.Перед началом работы установите установку около места работы на горизонтальном участке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4.1.2. Необходимо помнить, что перед началом работы вы должны надеть необходимые для обслуживания установки исправные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Перед пуском установки в работу проверьте наличие и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запорного узла;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вспомогательного магистрального трубопровода;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поворотных колен;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термостойкого резинового шланга;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металлического наконечника, оборудованного приспособлением для предохранения рук от ожогов;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арматуры, управления запорной арматуры, кожухов фланцевых соединений;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ограждения территории с оборудованием под нагнетание пара.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эксплуатации установки необходимо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всех агрегатов (двигателя, насосов, вентилятора и т. д.);</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ременные и клиноременные передачи;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обеспечивающих безопасное производство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котла и его облицовки;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смазки и наличие ее в системе;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4.2.2. Заправку установки топливом необходимо осуществлять по возможности в светлое время суток, в случае заправки в ночное время должно быть обеспечено безопасное электрическое освещение (переносной не выше 24 В).</w:t>
      </w:r>
    </w:p>
    <w:p>
      <w:pPr>
        <w:spacing w:line="240" w:lineRule="auto"/>
        <w:rPr>
          <w:rFonts w:hAnsi="Times New Roman" w:cs="Times New Roman"/>
          <w:color w:val="000000"/>
          <w:sz w:val="24"/>
          <w:szCs w:val="24"/>
        </w:rPr>
      </w:pPr>
      <w:r>
        <w:rPr>
          <w:rFonts w:hAnsi="Times New Roman" w:cs="Times New Roman"/>
          <w:color w:val="000000"/>
          <w:sz w:val="24"/>
          <w:szCs w:val="24"/>
        </w:rPr>
        <w:t>4.2.3. Перед выездом с места стоянки необходимо убедиться в исправности: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тормозной системы;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рулевого управления;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трансмиссии;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исправных световых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стеклоочистителя;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искрогасителя и т. д.</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Шланги для подачи пара в насосно-компрессорные трубы должны быть оборудованы специальным наконечником.</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ручного инструмента и средств малой механизации и приспособлений, используемых при ремонтных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применяемого электроинструмента и его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крепление шлангов к штуцерам и ниппелям, которые должны быть закреплены хомутом.</w:t>
      </w:r>
    </w:p>
    <w:p>
      <w:pPr>
        <w:spacing w:line="240" w:lineRule="auto"/>
        <w:rPr>
          <w:rFonts w:hAnsi="Times New Roman" w:cs="Times New Roman"/>
          <w:color w:val="000000"/>
          <w:sz w:val="24"/>
          <w:szCs w:val="24"/>
        </w:rPr>
      </w:pPr>
      <w:r>
        <w:rPr>
          <w:rFonts w:hAnsi="Times New Roman" w:cs="Times New Roman"/>
          <w:color w:val="000000"/>
          <w:sz w:val="24"/>
          <w:szCs w:val="24"/>
        </w:rPr>
        <w:t>4.4.5. Перед производством работ механизированным инструментом необходимо пользоваться средствами индивидуальной защиты (очками, диэлектрическими перчатками и т. д.).</w:t>
      </w:r>
    </w:p>
    <w:p>
      <w:pPr>
        <w:spacing w:line="240" w:lineRule="auto"/>
        <w:rPr>
          <w:rFonts w:hAnsi="Times New Roman" w:cs="Times New Roman"/>
          <w:color w:val="000000"/>
          <w:sz w:val="24"/>
          <w:szCs w:val="24"/>
        </w:rPr>
      </w:pPr>
      <w:r>
        <w:rPr>
          <w:rFonts w:hAnsi="Times New Roman" w:cs="Times New Roman"/>
          <w:color w:val="000000"/>
          <w:sz w:val="24"/>
          <w:szCs w:val="24"/>
        </w:rPr>
        <w:t>4.4.6. Перед проведением ремонтных работ автомобиль должен быть установлен устойчиво в горизонтальное положение, все снятые узлы и детали необходимо устанавливать на соответствующие подставки и стеллажи.</w:t>
      </w:r>
    </w:p>
    <w:p>
      <w:pPr>
        <w:spacing w:line="240" w:lineRule="auto"/>
        <w:rPr>
          <w:rFonts w:hAnsi="Times New Roman" w:cs="Times New Roman"/>
          <w:color w:val="000000"/>
          <w:sz w:val="24"/>
          <w:szCs w:val="24"/>
        </w:rPr>
      </w:pPr>
      <w:r>
        <w:rPr>
          <w:rFonts w:hAnsi="Times New Roman" w:cs="Times New Roman"/>
          <w:color w:val="000000"/>
          <w:sz w:val="24"/>
          <w:szCs w:val="24"/>
        </w:rPr>
        <w:t>4.4.7. При снятии и установке деталей с использованием лебедок, тельферов необходимо убедиться в исправности применяемых при этом стропов.</w:t>
      </w:r>
    </w:p>
    <w:p>
      <w:pPr>
        <w:spacing w:line="240" w:lineRule="auto"/>
        <w:rPr>
          <w:rFonts w:hAnsi="Times New Roman" w:cs="Times New Roman"/>
          <w:color w:val="000000"/>
          <w:sz w:val="24"/>
          <w:szCs w:val="24"/>
        </w:rPr>
      </w:pPr>
      <w:r>
        <w:rPr>
          <w:rFonts w:hAnsi="Times New Roman" w:cs="Times New Roman"/>
          <w:color w:val="000000"/>
          <w:sz w:val="24"/>
          <w:szCs w:val="24"/>
        </w:rPr>
        <w:t>4.4.8. Очистку сажи необходимо производить один раз в смену путем подачи пара в сажесдуватели.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w:t>
      </w:r>
      <w:r>
        <w:rPr>
          <w:rFonts w:hAnsi="Times New Roman" w:cs="Times New Roman"/>
          <w:b/>
          <w:bCs/>
          <w:color w:val="000000"/>
          <w:sz w:val="24"/>
          <w:szCs w:val="24"/>
        </w:rPr>
        <w:t>Требования охраны труда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На период тепловой обработки объект обработки и применяемое оборудование должно быть снабжено предупредительными плакатами «Осторожно! Тепловая обработка».</w:t>
      </w:r>
    </w:p>
    <w:p>
      <w:pPr>
        <w:spacing w:line="240" w:lineRule="auto"/>
        <w:rPr>
          <w:rFonts w:hAnsi="Times New Roman" w:cs="Times New Roman"/>
          <w:color w:val="000000"/>
          <w:sz w:val="24"/>
          <w:szCs w:val="24"/>
        </w:rPr>
      </w:pPr>
      <w:r>
        <w:rPr>
          <w:rFonts w:hAnsi="Times New Roman" w:cs="Times New Roman"/>
          <w:color w:val="000000"/>
          <w:sz w:val="24"/>
          <w:szCs w:val="24"/>
        </w:rPr>
        <w:t>5.1.2. В случае выхода пара через соединения подачу пара прекратить и после остывания трубопровода неплотности устранить и произвести опрессовку повторно.</w:t>
      </w:r>
    </w:p>
    <w:p>
      <w:pPr>
        <w:spacing w:line="240" w:lineRule="auto"/>
        <w:rPr>
          <w:rFonts w:hAnsi="Times New Roman" w:cs="Times New Roman"/>
          <w:color w:val="000000"/>
          <w:sz w:val="24"/>
          <w:szCs w:val="24"/>
        </w:rPr>
      </w:pPr>
      <w:r>
        <w:rPr>
          <w:rFonts w:hAnsi="Times New Roman" w:cs="Times New Roman"/>
          <w:color w:val="000000"/>
          <w:sz w:val="24"/>
          <w:szCs w:val="24"/>
        </w:rPr>
        <w:t>5.1.3. В случае прекращения циркуляции пара процесс пропаривания прекратить, подав сигнал об этом машинисту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5.1.4. При пропаривании выкидной линии присутствие людей у линии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При отогревании гидратных пробок в трубопроводах отключите замерзший участок с двух сторон и производите отогревание начиная с начала (конца)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5.1.6. Подача пара в пропариваемую трубу должна быть постепенной до выхода пара из противоположного конца трубы.</w:t>
      </w:r>
    </w:p>
    <w:p>
      <w:pPr>
        <w:spacing w:line="240" w:lineRule="auto"/>
        <w:rPr>
          <w:rFonts w:hAnsi="Times New Roman" w:cs="Times New Roman"/>
          <w:color w:val="000000"/>
          <w:sz w:val="24"/>
          <w:szCs w:val="24"/>
        </w:rPr>
      </w:pPr>
      <w:r>
        <w:rPr>
          <w:rFonts w:hAnsi="Times New Roman" w:cs="Times New Roman"/>
          <w:color w:val="000000"/>
          <w:sz w:val="24"/>
          <w:szCs w:val="24"/>
        </w:rPr>
        <w:t>5.1.7. При отпаривании насосно-компрессорных труб не находитесь на противоположной стороне трубы.</w:t>
      </w:r>
    </w:p>
    <w:p>
      <w:pPr>
        <w:spacing w:line="240" w:lineRule="auto"/>
        <w:rPr>
          <w:rFonts w:hAnsi="Times New Roman" w:cs="Times New Roman"/>
          <w:color w:val="000000"/>
          <w:sz w:val="24"/>
          <w:szCs w:val="24"/>
        </w:rPr>
      </w:pPr>
      <w:r>
        <w:rPr>
          <w:rFonts w:hAnsi="Times New Roman" w:cs="Times New Roman"/>
          <w:color w:val="000000"/>
          <w:sz w:val="24"/>
          <w:szCs w:val="24"/>
        </w:rPr>
        <w:t>5.1.8. Пропарку емкостей, мерников ведите при открытых люках и задвижках.</w:t>
      </w:r>
    </w:p>
    <w:p>
      <w:pPr>
        <w:spacing w:line="240" w:lineRule="auto"/>
        <w:rPr>
          <w:rFonts w:hAnsi="Times New Roman" w:cs="Times New Roman"/>
          <w:color w:val="000000"/>
          <w:sz w:val="24"/>
          <w:szCs w:val="24"/>
        </w:rPr>
      </w:pPr>
      <w:r>
        <w:rPr>
          <w:rFonts w:hAnsi="Times New Roman" w:cs="Times New Roman"/>
          <w:color w:val="000000"/>
          <w:sz w:val="24"/>
          <w:szCs w:val="24"/>
        </w:rPr>
        <w:t>5.1.9. При проведении тепловых обработок емкостей, цистерн, бочек и т. п. с использованием термостойкого шланга с металлическим наконечником примите меры против выбрасывания наконечника из емкости давлением пара.</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не допускайте изгибов термостойких шлангов под острым углом и перегибов.</w:t>
      </w:r>
    </w:p>
    <w:p>
      <w:pPr>
        <w:spacing w:line="240" w:lineRule="auto"/>
        <w:rPr>
          <w:rFonts w:hAnsi="Times New Roman" w:cs="Times New Roman"/>
          <w:color w:val="000000"/>
          <w:sz w:val="24"/>
          <w:szCs w:val="24"/>
        </w:rPr>
      </w:pPr>
      <w:r>
        <w:rPr>
          <w:rFonts w:hAnsi="Times New Roman" w:cs="Times New Roman"/>
          <w:color w:val="000000"/>
          <w:sz w:val="24"/>
          <w:szCs w:val="24"/>
        </w:rPr>
        <w:t>5.1.11. Постоянно следите за состоянием уплотнений трубопроводов и арматуры.</w:t>
      </w:r>
    </w:p>
    <w:p>
      <w:pPr>
        <w:spacing w:line="240" w:lineRule="auto"/>
        <w:rPr>
          <w:rFonts w:hAnsi="Times New Roman" w:cs="Times New Roman"/>
          <w:color w:val="000000"/>
          <w:sz w:val="24"/>
          <w:szCs w:val="24"/>
        </w:rPr>
      </w:pPr>
      <w:r>
        <w:rPr>
          <w:rFonts w:hAnsi="Times New Roman" w:cs="Times New Roman"/>
          <w:color w:val="000000"/>
          <w:sz w:val="24"/>
          <w:szCs w:val="24"/>
        </w:rPr>
        <w:t>5.1.12. Проведение тепловых обработок производится специально подготовленной бригадой.</w:t>
      </w:r>
    </w:p>
    <w:p>
      <w:pPr>
        <w:spacing w:line="240" w:lineRule="auto"/>
        <w:rPr>
          <w:rFonts w:hAnsi="Times New Roman" w:cs="Times New Roman"/>
          <w:color w:val="000000"/>
          <w:sz w:val="24"/>
          <w:szCs w:val="24"/>
        </w:rPr>
      </w:pPr>
      <w:r>
        <w:rPr>
          <w:rFonts w:hAnsi="Times New Roman" w:cs="Times New Roman"/>
          <w:color w:val="000000"/>
          <w:sz w:val="24"/>
          <w:szCs w:val="24"/>
        </w:rPr>
        <w:t>5.1.13. При обвязке установки для подтяжки резьбовых соединений трубопроводов применяйте инструмент, не дающий искр при ударах.</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в газовой среде для защиты органов дыхания от вредных газов и паров применяйте шланговые противогазы, респираторы, изолирующие кислородные аппараты.</w:t>
      </w:r>
    </w:p>
    <w:p>
      <w:pPr>
        <w:spacing w:line="240" w:lineRule="auto"/>
        <w:rPr>
          <w:rFonts w:hAnsi="Times New Roman" w:cs="Times New Roman"/>
          <w:color w:val="000000"/>
          <w:sz w:val="24"/>
          <w:szCs w:val="24"/>
        </w:rPr>
      </w:pPr>
      <w:r>
        <w:rPr>
          <w:rFonts w:hAnsi="Times New Roman" w:cs="Times New Roman"/>
          <w:color w:val="000000"/>
          <w:sz w:val="24"/>
          <w:szCs w:val="24"/>
        </w:rPr>
        <w:t>5.1.15. Помните, что производить пропаривание оборудования, которое не обесточено,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необходимости пропаривания оборудования, связанной с подъемом рабочего на высоту 1,8 м и более, применяйте средства подмащивания, имеющие ограждения и бортовые элементы.</w:t>
      </w:r>
    </w:p>
    <w:p>
      <w:pPr>
        <w:spacing w:line="240" w:lineRule="auto"/>
        <w:rPr>
          <w:rFonts w:hAnsi="Times New Roman" w:cs="Times New Roman"/>
          <w:color w:val="000000"/>
          <w:sz w:val="24"/>
          <w:szCs w:val="24"/>
        </w:rPr>
      </w:pPr>
      <w:r>
        <w:rPr>
          <w:rFonts w:hAnsi="Times New Roman" w:cs="Times New Roman"/>
          <w:color w:val="000000"/>
          <w:sz w:val="24"/>
          <w:szCs w:val="24"/>
        </w:rPr>
        <w:t>5.1.17. При проведении пропаривания с помощью термостойкого шланга с металлическим наконечником направлять наконечник с выходящим под давлением паром вверх или по сторонам, чтобы исключить случаи замыкания на землю находящихся под напряжением частей электроустановок, силовых и электроосветительных линий посредством выходящей на большое расстояние струи пара,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При отогревании примерзших к земле саней с установленным на них оборудованием необходимо металлический наконечник термостойкого шланга установить в отверстие трубы полоза саней.</w:t>
      </w:r>
    </w:p>
    <w:p>
      <w:pPr>
        <w:spacing w:line="240" w:lineRule="auto"/>
        <w:rPr>
          <w:rFonts w:hAnsi="Times New Roman" w:cs="Times New Roman"/>
          <w:color w:val="000000"/>
          <w:sz w:val="24"/>
          <w:szCs w:val="24"/>
        </w:rPr>
      </w:pPr>
      <w:r>
        <w:rPr>
          <w:rFonts w:hAnsi="Times New Roman" w:cs="Times New Roman"/>
          <w:color w:val="000000"/>
          <w:sz w:val="24"/>
          <w:szCs w:val="24"/>
        </w:rPr>
        <w:t>5.1.19. При запарке якорей необходимо устанавливать на месте запарки защитный экран из жести (диаметром не менее 500 мм или квадратной формы со стороной не менее 500 мм) для предотвращения выброса пара, песка и т. п.</w:t>
      </w:r>
    </w:p>
    <w:p>
      <w:pPr>
        <w:spacing w:line="240" w:lineRule="auto"/>
        <w:rPr>
          <w:rFonts w:hAnsi="Times New Roman" w:cs="Times New Roman"/>
          <w:color w:val="000000"/>
          <w:sz w:val="24"/>
          <w:szCs w:val="24"/>
        </w:rPr>
      </w:pPr>
      <w:r>
        <w:rPr>
          <w:rFonts w:hAnsi="Times New Roman" w:cs="Times New Roman"/>
          <w:color w:val="000000"/>
          <w:sz w:val="24"/>
          <w:szCs w:val="24"/>
        </w:rPr>
        <w:t>5.1.20. Металлический наконечник для запарки якорей должен соединяться с паропроводом быстроразъемным соединением.</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технологических операций пользуйтесь сигнализацией, установленной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5.1.22. Тепловая обработка должна производиться после установки термостойкого пакера при давлении теплоносителя, не превышающем максимально допустимое для эксплуатационной колонны.</w:t>
      </w:r>
    </w:p>
    <w:p>
      <w:pPr>
        <w:spacing w:line="240" w:lineRule="auto"/>
        <w:rPr>
          <w:rFonts w:hAnsi="Times New Roman" w:cs="Times New Roman"/>
          <w:color w:val="000000"/>
          <w:sz w:val="24"/>
          <w:szCs w:val="24"/>
        </w:rPr>
      </w:pPr>
      <w:r>
        <w:rPr>
          <w:rFonts w:hAnsi="Times New Roman" w:cs="Times New Roman"/>
          <w:color w:val="000000"/>
          <w:sz w:val="24"/>
          <w:szCs w:val="24"/>
        </w:rPr>
        <w:t>5.1.23. При температуре пара более 200 °С колонна насосно-компрессорных труб должна иметь теплоизоляцию.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создания аварийных ситуаций, связанных с прорывом технологических трубопроводов или арматуры скважины, немедленно поставьте в известность руководителя работ (старшего) и действуйте в соответствии с планом ликвидации возможных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неисправности оборудования, приспособлений или других нарушениях нормальной работы при тепловых обработках, снижающих безопасность обслуживающего персонала, примите меры к немедленной остановке установки и прекращению работы.</w:t>
      </w:r>
    </w:p>
    <w:p>
      <w:pPr>
        <w:spacing w:line="240" w:lineRule="auto"/>
        <w:rPr>
          <w:rFonts w:hAnsi="Times New Roman" w:cs="Times New Roman"/>
          <w:color w:val="000000"/>
          <w:sz w:val="24"/>
          <w:szCs w:val="24"/>
        </w:rPr>
      </w:pPr>
      <w:r>
        <w:rPr>
          <w:rFonts w:hAnsi="Times New Roman" w:cs="Times New Roman"/>
          <w:color w:val="000000"/>
          <w:sz w:val="24"/>
          <w:szCs w:val="24"/>
        </w:rPr>
        <w:t>6.3.3. Для предотвращения аварии немедленная остановка парогенератора необходима в следующих случаях: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объем воды в цистерне меньше 100–150 литров;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температура пара быстро поднимается выше 300 градусов;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стрелка манометра переходит черту предельного допустимого давления 100 кг/см в результате быстрого возрастания давления пара;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 двигатель, насос, вентилятор, манометр, предохранительные клапаны;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парогенераторе обнаружена течь, трещина или другое повреждение;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расплавилась предохранительная легкоплавкая вставка.</w:t>
      </w:r>
    </w:p>
    <w:p>
      <w:pPr>
        <w:spacing w:line="240" w:lineRule="auto"/>
        <w:rPr>
          <w:rFonts w:hAnsi="Times New Roman" w:cs="Times New Roman"/>
          <w:color w:val="000000"/>
          <w:sz w:val="24"/>
          <w:szCs w:val="24"/>
        </w:rPr>
      </w:pPr>
      <w:r>
        <w:rPr>
          <w:rFonts w:hAnsi="Times New Roman" w:cs="Times New Roman"/>
          <w:color w:val="000000"/>
          <w:sz w:val="24"/>
          <w:szCs w:val="24"/>
        </w:rPr>
        <w:t>6.3.4. Остановка парогенератора производится в следующей последовательности: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немедленном прекращении работы установки необходимо отсечь подачу топлива к форсунке выключением тумблера;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продуть топливную камеру парового котла воздухом (полностью открыть заслонку воздуховода);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выключить привод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возникновения пожара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технологические операции;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электроэнергию;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удалению людей из опасной зоны;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умело и быстро выполнить обязанности, изложенные в плане ликвидации аварий;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очаг пожара от окружающего воздуха;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горящие объемы заполнить негорючими газами или паром;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искусственному снижению температуры горящего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В большинстве случаев горение ликвидируется одновременным применением нескольких методов.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разборку паропроводов производить после их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7.2.2. В нерабочее время машина должна находиться в положении, исключающем возможность ее пуска посторонними лицами, для чего необходимо запирать дверь на ключ.</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оборудование, закрыть подачу пара, газа, воды и т. п. Произвести очистку оборудования после отключения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Приспособления, инструмент убрать и уложить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f251274998843c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