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паровой передвижной установки</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паровой передвижной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паровой передвижной установки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единицы внешней механической работы за смену (кг·м);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масса поднимаемого и перемещаемого груза вручную (кг);</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стереотипные рабочие движения (количество за смену);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величина статической нагрузки за смену при удержании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приложение усилий (кгс·с);</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рабочая поза;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сложные факторы комбинации рабочей среды.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обход обслуживаемого оборудования по определенному маршруту, проверить визуально состояние (целостность) агрегатов, механизмов и инструментов, наличие реагентов, приборов КИПиА;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необходимые сведения от сдающего смену о состоянии оборудования, неисправностях, требующих немедленного устранения, и распоряжениях на предстоящую смену;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ознакомиться со всеми записями в журналах: оперативном, дефектов, учета работ по нарядам и распоряжениям, распоряжениями, вышедшими за время, прошедшее с предыдущего дежурства.</w:t>
      </w:r>
    </w:p>
    <w:p>
      <w:pPr>
        <w:spacing w:line="240" w:lineRule="auto"/>
        <w:rPr>
          <w:rFonts w:hAnsi="Times New Roman" w:cs="Times New Roman"/>
          <w:color w:val="000000"/>
          <w:sz w:val="24"/>
          <w:szCs w:val="24"/>
        </w:rPr>
      </w:pPr>
      <w:r>
        <w:rPr>
          <w:rFonts w:hAnsi="Times New Roman" w:cs="Times New Roman"/>
          <w:color w:val="000000"/>
          <w:sz w:val="24"/>
          <w:szCs w:val="24"/>
        </w:rPr>
        <w:t>4.1.2. После окончания обхода сообщить руководителю работ о готовности приемки смены.</w:t>
      </w:r>
    </w:p>
    <w:p>
      <w:pPr>
        <w:spacing w:line="240" w:lineRule="auto"/>
        <w:rPr>
          <w:rFonts w:hAnsi="Times New Roman" w:cs="Times New Roman"/>
          <w:color w:val="000000"/>
          <w:sz w:val="24"/>
          <w:szCs w:val="24"/>
        </w:rPr>
      </w:pPr>
      <w:r>
        <w:rPr>
          <w:rFonts w:hAnsi="Times New Roman" w:cs="Times New Roman"/>
          <w:color w:val="000000"/>
          <w:sz w:val="24"/>
          <w:szCs w:val="24"/>
        </w:rPr>
        <w:t>4.1.3.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опробовать оборудование до приема смены;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уходить со смены без оформления приема и сдачи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эксплуатации установки необходимо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крепление всех агрегатов (двигателя, насосов, вентилятора и т. 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ременные и клиноременные передачи;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обеспечивающих безопасное производство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котла и его облицовки;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смазки и наличие ее в системе;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4.2.2. Заправку установки топливом необходимо осуществлять по возможности в светлое время суток, в случае заправки в ночное время должно быть обеспечено безопасное электрическое освещение (переносной не выше 24 В).</w:t>
      </w:r>
    </w:p>
    <w:p>
      <w:pPr>
        <w:spacing w:line="240" w:lineRule="auto"/>
        <w:rPr>
          <w:rFonts w:hAnsi="Times New Roman" w:cs="Times New Roman"/>
          <w:color w:val="000000"/>
          <w:sz w:val="24"/>
          <w:szCs w:val="24"/>
        </w:rPr>
      </w:pPr>
      <w:r>
        <w:rPr>
          <w:rFonts w:hAnsi="Times New Roman" w:cs="Times New Roman"/>
          <w:color w:val="000000"/>
          <w:sz w:val="24"/>
          <w:szCs w:val="24"/>
        </w:rPr>
        <w:t>4.2.3. Перед выездом с места стоянки необходимо убедиться в исправности: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тормозной системы;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рулевого управления;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трансмиссии;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исправных световых приборов;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стеклоочистителя;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искрогасителя и т. д.</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Шланги для подачи пара в насосно-компрессорные трубы должны быть оборудованы специальным наконечником.</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ручного инструмента и средств малой механизации и приспособлений, используемых при ремонтных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применяемого электроинструмента и его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крепление шлангов к штуцерам и ниппелям, которые должны быть закреплены хомутом.</w:t>
      </w:r>
    </w:p>
    <w:p>
      <w:pPr>
        <w:spacing w:line="240" w:lineRule="auto"/>
        <w:rPr>
          <w:rFonts w:hAnsi="Times New Roman" w:cs="Times New Roman"/>
          <w:color w:val="000000"/>
          <w:sz w:val="24"/>
          <w:szCs w:val="24"/>
        </w:rPr>
      </w:pPr>
      <w:r>
        <w:rPr>
          <w:rFonts w:hAnsi="Times New Roman" w:cs="Times New Roman"/>
          <w:color w:val="000000"/>
          <w:sz w:val="24"/>
          <w:szCs w:val="24"/>
        </w:rPr>
        <w:t>4.4.5. Перед производством работ механизированным инструментом необходимо пользоваться средствами индивидуальной защиты (очками, диэлектрическими перчатками и т. д.).</w:t>
      </w:r>
    </w:p>
    <w:p>
      <w:pPr>
        <w:spacing w:line="240" w:lineRule="auto"/>
        <w:rPr>
          <w:rFonts w:hAnsi="Times New Roman" w:cs="Times New Roman"/>
          <w:color w:val="000000"/>
          <w:sz w:val="24"/>
          <w:szCs w:val="24"/>
        </w:rPr>
      </w:pPr>
      <w:r>
        <w:rPr>
          <w:rFonts w:hAnsi="Times New Roman" w:cs="Times New Roman"/>
          <w:color w:val="000000"/>
          <w:sz w:val="24"/>
          <w:szCs w:val="24"/>
        </w:rPr>
        <w:t>4.4.6. Перед проведением ремонтных работ автомобиль должен быть установлен устойчиво в горизонтальное положение, все снятые узлы и детали необходимо устанавливать на соответствующие подставки и стеллажи.</w:t>
      </w:r>
    </w:p>
    <w:p>
      <w:pPr>
        <w:spacing w:line="240" w:lineRule="auto"/>
        <w:rPr>
          <w:rFonts w:hAnsi="Times New Roman" w:cs="Times New Roman"/>
          <w:color w:val="000000"/>
          <w:sz w:val="24"/>
          <w:szCs w:val="24"/>
        </w:rPr>
      </w:pPr>
      <w:r>
        <w:rPr>
          <w:rFonts w:hAnsi="Times New Roman" w:cs="Times New Roman"/>
          <w:color w:val="000000"/>
          <w:sz w:val="24"/>
          <w:szCs w:val="24"/>
        </w:rPr>
        <w:t>4.4.7. При снятии и установке деталей с использованием лебедок, тельферов необходимо убедиться в исправности применяемых при этом стропов.</w:t>
      </w:r>
    </w:p>
    <w:p>
      <w:pPr>
        <w:spacing w:line="240" w:lineRule="auto"/>
        <w:rPr>
          <w:rFonts w:hAnsi="Times New Roman" w:cs="Times New Roman"/>
          <w:color w:val="000000"/>
          <w:sz w:val="24"/>
          <w:szCs w:val="24"/>
        </w:rPr>
      </w:pPr>
      <w:r>
        <w:rPr>
          <w:rFonts w:hAnsi="Times New Roman" w:cs="Times New Roman"/>
          <w:color w:val="000000"/>
          <w:sz w:val="24"/>
          <w:szCs w:val="24"/>
        </w:rPr>
        <w:t>4.4.8. Очистку сажи необходимо производить один раз в смену путем подачи пара в сажесдуватели.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 прибытии на промысел ППУ должна быть установлена на расстоянии 25 метров от устья скважины на ровной площади.</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работ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запустить двигатель и прогреть его согласно инструкции (при низких температурах для запуска воспользоваться подогревателем);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запуска водяного насоса открыть спускной вентиль на выходной трубе и убедиться в том, что парогенератор и патрубок заполнены водой;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открытия спускного вентиля прикрыть вентиль подачи пара потребителю, создать давление воды в змеевиках 25–30 кг/см и приступить к розжигу парогенератора в следующей последовательности: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спираль накаливания электророзжига котла или ввести в топку котла факел;</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вентиль подачи топлива в парогенератор, после воспламенения топлива открыть заслонку воздуховода и включить спираль накаливания;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вентилем, подающим топливо в парогенератор, и вентилем на перепускной линии топливного насоса подачу топлива до получения нормального пламени, при этом давление топлива должно быть не ниже 1 кг/см;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заслонкой на воздуховоде отрегулировать подачу воздуха;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вентилем на выходной паровой линии парогенератора через 10–16 минут довести давление пара до необходимого рабочего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5.1.3. Подключение парогенераторов от ППУ для пропаривания скважин проводится под руководством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5.1.4. В работающем парогенераторе необходимо поддерживать давление пара при подаче потребителю, работа установки должна регулироваться вентилем перепуска топлива и выходным паровым вентилем.</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необходимо постоянно следить за уровнем воды в цистерне, так как парогенератор не может работать без воды даже незначительное время.</w:t>
      </w:r>
    </w:p>
    <w:p>
      <w:pPr>
        <w:spacing w:line="240" w:lineRule="auto"/>
        <w:rPr>
          <w:rFonts w:hAnsi="Times New Roman" w:cs="Times New Roman"/>
          <w:color w:val="000000"/>
          <w:sz w:val="24"/>
          <w:szCs w:val="24"/>
        </w:rPr>
      </w:pPr>
      <w:r>
        <w:rPr>
          <w:rFonts w:hAnsi="Times New Roman" w:cs="Times New Roman"/>
          <w:color w:val="000000"/>
          <w:sz w:val="24"/>
          <w:szCs w:val="24"/>
        </w:rPr>
        <w:t>5.1.6. При понижении уровня воды в цистерне до 100–150 литров необходимо немедленно остановить подачу тепла.</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во время работы установки выполнять другие работы, не относящиеся к обслуживанию установки, допускать к управлению других лиц, а также оставлять работающий котел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котла должна быть обеспечена бесперебойная работа подачи топлива в форсунку, перерыв в работе подачи вызывает вибрацию котла, падение рабочего давления, взрыв в топке.</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действия установки машинист обязан следить: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наличием утечек в соединениях и арматуре;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показаниями приборов на щитках;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температурой воды и топлива, которая должна быть не более 50 градусов;</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 правильным горением топлива, определяемым по цвету пламени, которое должно быть ярко-красным, по цвету дыма, который должен быть светло-серым или светло-коричневым.</w:t>
      </w:r>
    </w:p>
    <w:p>
      <w:pPr>
        <w:spacing w:line="240" w:lineRule="auto"/>
        <w:rPr>
          <w:rFonts w:hAnsi="Times New Roman" w:cs="Times New Roman"/>
          <w:color w:val="000000"/>
          <w:sz w:val="24"/>
          <w:szCs w:val="24"/>
        </w:rPr>
      </w:pPr>
      <w:r>
        <w:rPr>
          <w:rFonts w:hAnsi="Times New Roman" w:cs="Times New Roman"/>
          <w:color w:val="000000"/>
          <w:sz w:val="24"/>
          <w:szCs w:val="24"/>
        </w:rPr>
        <w:t>5.1.10. Перед пропариванием труб в скважине паропровод от ППУ до устья скважины должен быть опрессован на полуторакратное давление от ожидаемого и максимального давления в процессе пропаривания, но не выше давления, допустимого по паспорту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5.1.11. При выходе пара через соединения подача пара прекращается, и после устранения негерметичности опрессовка производится повторно.</w:t>
      </w:r>
    </w:p>
    <w:p>
      <w:pPr>
        <w:spacing w:line="240" w:lineRule="auto"/>
        <w:rPr>
          <w:rFonts w:hAnsi="Times New Roman" w:cs="Times New Roman"/>
          <w:color w:val="000000"/>
          <w:sz w:val="24"/>
          <w:szCs w:val="24"/>
        </w:rPr>
      </w:pPr>
      <w:r>
        <w:rPr>
          <w:rFonts w:hAnsi="Times New Roman" w:cs="Times New Roman"/>
          <w:color w:val="000000"/>
          <w:sz w:val="24"/>
          <w:szCs w:val="24"/>
        </w:rPr>
        <w:t>5.1.12. Отвод от затрубного пространства при обработке скважин паром должен быть выведен в сторону, свободную от пребывания людей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5.1.13. При опрессовке и пропаривании выкидных линий и насосно-компрессорных труб запрещается присутствие людей у устья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5.1.14. При повышении температуры пара выше 300 градусов, а давления – выше 100 кг/см необходимо прикрыть вентиль подачи топлива в форсунку и открыть вентиль перепуска топлива, одновременно приоткрыть паровой вентиль.</w:t>
      </w:r>
    </w:p>
    <w:p>
      <w:pPr>
        <w:spacing w:line="240" w:lineRule="auto"/>
        <w:rPr>
          <w:rFonts w:hAnsi="Times New Roman" w:cs="Times New Roman"/>
          <w:color w:val="000000"/>
          <w:sz w:val="24"/>
          <w:szCs w:val="24"/>
        </w:rPr>
      </w:pPr>
      <w:r>
        <w:rPr>
          <w:rFonts w:hAnsi="Times New Roman" w:cs="Times New Roman"/>
          <w:color w:val="000000"/>
          <w:sz w:val="24"/>
          <w:szCs w:val="24"/>
        </w:rPr>
        <w:t>5.1.15. Меры безопасности при работе с термостойким резиновым шлангом: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пуском установки в работу с термостойким резиновым шлангом проверьте исправность шланга, наличие металлического наконечника, оборудованного приспособлениями для предохранения рук от ожогов;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соединение термостойких резиновых шлангов должно быть выполнено на штуцерах типа "елочка" и крепиться хомутами, применение "скруток"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тепловых обработок емкостей, цистерн, бочек и т. п. примите меры против выброса наконечника из емкости давлением пара;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целью исключения возможности замыкания на землю находящихся под напряжением частей электроустановок, силовых и электроосветительных линий направлять наконечник с выходящим под давлением паром вверх или по сторонам запрещается;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время работы не допускайте изгибов термостойких резиновых шлангов под острым углом и их пережима.</w:t>
      </w:r>
    </w:p>
    <w:p>
      <w:pPr>
        <w:spacing w:line="240" w:lineRule="auto"/>
        <w:rPr>
          <w:rFonts w:hAnsi="Times New Roman" w:cs="Times New Roman"/>
          <w:color w:val="000000"/>
          <w:sz w:val="24"/>
          <w:szCs w:val="24"/>
        </w:rPr>
      </w:pPr>
      <w:r>
        <w:rPr>
          <w:rFonts w:hAnsi="Times New Roman" w:cs="Times New Roman"/>
          <w:color w:val="000000"/>
          <w:sz w:val="24"/>
          <w:szCs w:val="24"/>
        </w:rPr>
        <w:t>5.1.16. При остановке парогенератора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подачу топлива в форсунку и одновременно открыть вентиль перепуска топлива;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снизить паровым выходным вентилем давление пара до 40–50 кг/см;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приводная группа должна продолжать работу для перекачки воды через змеевик котла, когда вода достигнет температуры ниже 50 градусов, выключить сцепление и остановить двигатель;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слить воду из змеевиков парогенератора, из цистерны и радиатора;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зимнее время продуть с помощью специального шланга сжатым воздухом от ресивера автомобиля змеевики котла, водяной насос и водопаровые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5.1.17. В целях обеспечения пожарной безопасности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на установках исправный огнетушитель;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устранять течь горюче-смазочных материалов;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пролитые ГСМ и обтирочные материалы;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курить;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исправностью искрогасителя;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исправном состоянии электрооборудование;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исправностью предохранительного блока.</w:t>
      </w:r>
    </w:p>
    <w:p>
      <w:pPr>
        <w:spacing w:line="240" w:lineRule="auto"/>
        <w:rPr>
          <w:rFonts w:hAnsi="Times New Roman" w:cs="Times New Roman"/>
          <w:color w:val="000000"/>
          <w:sz w:val="24"/>
          <w:szCs w:val="24"/>
        </w:rPr>
      </w:pPr>
      <w:r>
        <w:rPr>
          <w:rFonts w:hAnsi="Times New Roman" w:cs="Times New Roman"/>
          <w:b/>
          <w:bCs/>
          <w:color w:val="000000"/>
          <w:sz w:val="24"/>
          <w:szCs w:val="24"/>
        </w:rPr>
        <w:t>Проверка КИПиА, автоматических защит, арматуры и питательных насосов.</w:t>
      </w:r>
    </w:p>
    <w:p>
      <w:pPr>
        <w:spacing w:line="240" w:lineRule="auto"/>
        <w:rPr>
          <w:rFonts w:hAnsi="Times New Roman" w:cs="Times New Roman"/>
          <w:color w:val="000000"/>
          <w:sz w:val="24"/>
          <w:szCs w:val="24"/>
        </w:rPr>
      </w:pPr>
      <w:r>
        <w:rPr>
          <w:rFonts w:hAnsi="Times New Roman" w:cs="Times New Roman"/>
          <w:color w:val="000000"/>
          <w:sz w:val="24"/>
          <w:szCs w:val="24"/>
        </w:rPr>
        <w:t>5.1.18. Проверка исправности действия манометров, предохранительных клапанов, указателей уровня воды и питательных насосов должна проводиться не реже одного раза в смену. О результатах проверки делается запись в сменном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5.1.19. Проверка неисправности манометра производится с помощью трехходового крана или заменяющих его запорных вентилей путем установки стрелки манометра на ноль. Кроме указанной проверки, администрация обязана не реже одного раза в шесть месяцев проводить проверку рабочих манометров контрольным манометром, имеющим одинаковые с проверяемым манометром шкалу и класс точности, с записью результатов в журнал контрольной проверки. Не реже одного раза в год манометры должны быть проверены с установкой клейма или пломбы в порядке, предусмотренном Госстандартом.</w:t>
      </w:r>
    </w:p>
    <w:p>
      <w:pPr>
        <w:spacing w:line="240" w:lineRule="auto"/>
        <w:rPr>
          <w:rFonts w:hAnsi="Times New Roman" w:cs="Times New Roman"/>
          <w:color w:val="000000"/>
          <w:sz w:val="24"/>
          <w:szCs w:val="24"/>
        </w:rPr>
      </w:pPr>
      <w:r>
        <w:rPr>
          <w:rFonts w:hAnsi="Times New Roman" w:cs="Times New Roman"/>
          <w:color w:val="000000"/>
          <w:sz w:val="24"/>
          <w:szCs w:val="24"/>
        </w:rPr>
        <w:t>5.1.20. Проверка указателей уровня воды проводится путем их продувки. Исправность сниженных указателей уровня проверяется сверкой их показаний с показаниями указателей уровня воды прямого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5.1.21. Исправность предохранительных клапанов проверяется принудительным кратковременным их "подрывом".</w:t>
      </w:r>
    </w:p>
    <w:p>
      <w:pPr>
        <w:spacing w:line="240" w:lineRule="auto"/>
        <w:rPr>
          <w:rFonts w:hAnsi="Times New Roman" w:cs="Times New Roman"/>
          <w:color w:val="000000"/>
          <w:sz w:val="24"/>
          <w:szCs w:val="24"/>
        </w:rPr>
      </w:pPr>
      <w:r>
        <w:rPr>
          <w:rFonts w:hAnsi="Times New Roman" w:cs="Times New Roman"/>
          <w:color w:val="000000"/>
          <w:sz w:val="24"/>
          <w:szCs w:val="24"/>
        </w:rPr>
        <w:t>5.1.22. Обслуживание приборов и устройств автоматики безопасности заключается в периодической проверке ее действия: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проверка работы реле нижнего уровня воды в цистерне проводится при пустой цистерне включением на щите приборов тумблера В2 "Общее 24В", "Аварийная сигнализация";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включении тумблера В1 появится звуковой сигнал автомобиля, указывающий на нормальную работу реле нижнего уровня;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сигнала необходимо найти и устранить причины неисправности согласно схеме;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проверка работы автоматики отсечки топлива при повышении температуры проводится при работающей установке в конце ее работы;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проверки необходимо установить давление пара 10 МПА (100 кг/см) и температуру пара 310 градусов, ручку с делениями датчика ТУДЭ-6 (установленного на расширителе около парогенератора) провернуть с деления 315 до деления 290 градусов;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отсечка топлива и появление звукового сигнала указывают, что автоматика отсечки топлива по температуре пара работает нормально;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сигнала и отсечки топлива установку необходимо выключить из работы в обычном порядке;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чего найти неисправность;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ручку с делениями на датчике ТУДЭ-6 снова установить на деление 315 градусов.</w:t>
      </w:r>
    </w:p>
    <w:p>
      <w:pPr>
        <w:spacing w:line="240" w:lineRule="auto"/>
        <w:rPr>
          <w:rFonts w:hAnsi="Times New Roman" w:cs="Times New Roman"/>
          <w:color w:val="000000"/>
          <w:sz w:val="24"/>
          <w:szCs w:val="24"/>
        </w:rPr>
      </w:pPr>
      <w:r>
        <w:rPr>
          <w:rFonts w:hAnsi="Times New Roman" w:cs="Times New Roman"/>
          <w:color w:val="000000"/>
          <w:sz w:val="24"/>
          <w:szCs w:val="24"/>
        </w:rPr>
        <w:t>5.1.23. Указанные проверки работоспособности автоматики безопасности должны проводиться через 100 часов работы установки.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безопасности при кислотной обработке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5.2.1. Наиболее эффективно накипь удаляется раствором соляной кислоты. Концентрацию раствора определяют путем проверки пробы накипи на растворимость или в зависимости от толщины слоя отложения. Концентрация раствора кислоты свыше 8 процентов не рекомендуется.</w:t>
      </w:r>
    </w:p>
    <w:p>
      <w:pPr>
        <w:spacing w:line="240" w:lineRule="auto"/>
        <w:rPr>
          <w:rFonts w:hAnsi="Times New Roman" w:cs="Times New Roman"/>
          <w:color w:val="000000"/>
          <w:sz w:val="24"/>
          <w:szCs w:val="24"/>
        </w:rPr>
      </w:pPr>
      <w:r>
        <w:rPr>
          <w:rFonts w:hAnsi="Times New Roman" w:cs="Times New Roman"/>
          <w:color w:val="000000"/>
          <w:sz w:val="24"/>
          <w:szCs w:val="24"/>
        </w:rPr>
        <w:t>5.2.2. Концентрация соляной кислоты в процентах в зависимости от толщины слоя накипи следующая:</w:t>
      </w:r>
    </w:p>
    <w:tbl>
      <w:tblPr>
        <w:tblW w:w="5000" w:type="pct"/>
        <w:tblCellMar>
          <w:top w:w="15" w:type="dxa"/>
          <w:left w:w="15" w:type="dxa"/>
          <w:bottom w:w="15" w:type="dxa"/>
          <w:right w:w="15" w:type="dxa"/>
        </w:tblCellMar>
        <w:tblLook w:val="0600"/>
      </w:tblPr>
      <w:tblGrid>
        <w:gridCol w:w="1440"/>
        <w:gridCol w:w="1440"/>
      </w:tblGrid>
      <w:tr>
        <w:trPr>
          <w:trHeight w:val="0"/>
        </w:trPr>
        <w:tc>
          <w:tcPr>
            <w:tcW w:w="4603"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4152"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4603"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Толщина слоя накипи, мм</w:t>
            </w:r>
          </w:p>
        </w:tc>
        <w:tc>
          <w:tcPr>
            <w:tcW w:w="4152"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Концентрация кислоты, в %</w:t>
            </w:r>
          </w:p>
        </w:tc>
      </w:tr>
      <w:tr>
        <w:trPr>
          <w:trHeight w:val="0"/>
        </w:trPr>
        <w:tc>
          <w:tcPr>
            <w:tcW w:w="4603"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0,5</w:t>
            </w:r>
          </w:p>
        </w:tc>
        <w:tc>
          <w:tcPr>
            <w:tcW w:w="4152"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r>
        <w:trPr>
          <w:trHeight w:val="0"/>
        </w:trPr>
        <w:tc>
          <w:tcPr>
            <w:tcW w:w="4603"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0,5–1,0</w:t>
            </w:r>
          </w:p>
        </w:tc>
        <w:tc>
          <w:tcPr>
            <w:tcW w:w="4152"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4603"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1,0–1,5</w:t>
            </w:r>
          </w:p>
        </w:tc>
        <w:tc>
          <w:tcPr>
            <w:tcW w:w="4152"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r>
      <w:tr>
        <w:trPr>
          <w:trHeight w:val="0"/>
        </w:trPr>
        <w:tc>
          <w:tcPr>
            <w:tcW w:w="4603"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1,5–2,0</w:t>
            </w:r>
          </w:p>
        </w:tc>
        <w:tc>
          <w:tcPr>
            <w:tcW w:w="4152"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r>
      <w:tr>
        <w:trPr>
          <w:trHeight w:val="0"/>
        </w:trPr>
        <w:tc>
          <w:tcPr>
            <w:tcW w:w="4603"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2,0–2,5</w:t>
            </w:r>
          </w:p>
        </w:tc>
        <w:tc>
          <w:tcPr>
            <w:tcW w:w="4152"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w:t>
            </w:r>
          </w:p>
        </w:tc>
      </w:tr>
    </w:tbl>
    <w:p>
      <w:pPr>
        <w:spacing w:line="240" w:lineRule="auto"/>
        <w:rPr>
          <w:rFonts w:hAnsi="Times New Roman" w:cs="Times New Roman"/>
          <w:color w:val="000000"/>
          <w:sz w:val="24"/>
          <w:szCs w:val="24"/>
        </w:rPr>
      </w:pPr>
      <w:r>
        <w:rPr>
          <w:rFonts w:hAnsi="Times New Roman" w:cs="Times New Roman"/>
          <w:color w:val="000000"/>
          <w:sz w:val="24"/>
          <w:szCs w:val="24"/>
        </w:rPr>
        <w:t>5.2.3. Необходимое количество раствора для парогенератора ППУ составит 100 литров.</w:t>
      </w:r>
    </w:p>
    <w:p>
      <w:pPr>
        <w:spacing w:line="240" w:lineRule="auto"/>
        <w:rPr>
          <w:rFonts w:hAnsi="Times New Roman" w:cs="Times New Roman"/>
          <w:color w:val="000000"/>
          <w:sz w:val="24"/>
          <w:szCs w:val="24"/>
        </w:rPr>
      </w:pPr>
      <w:r>
        <w:rPr>
          <w:rFonts w:hAnsi="Times New Roman" w:cs="Times New Roman"/>
          <w:color w:val="000000"/>
          <w:sz w:val="24"/>
          <w:szCs w:val="24"/>
        </w:rPr>
        <w:t>5.2.4. Кислотная обработка парогенератора от накипи должна производиться с помощью кислотного агрегата или приспособленного для этой цели постороннего ручного насоса.</w:t>
      </w:r>
    </w:p>
    <w:p>
      <w:pPr>
        <w:spacing w:line="240" w:lineRule="auto"/>
        <w:rPr>
          <w:rFonts w:hAnsi="Times New Roman" w:cs="Times New Roman"/>
          <w:color w:val="000000"/>
          <w:sz w:val="24"/>
          <w:szCs w:val="24"/>
        </w:rPr>
      </w:pPr>
      <w:r>
        <w:rPr>
          <w:rFonts w:hAnsi="Times New Roman" w:cs="Times New Roman"/>
          <w:color w:val="000000"/>
          <w:sz w:val="24"/>
          <w:szCs w:val="24"/>
        </w:rPr>
        <w:t>5.2.5. Использование для кислотной очистки насоса установки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5.2.6. Перед кислотной обработкой необходимо: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отсоединить напорный трубопровод у обратного клапана или вентиля, расположенных на напорном трубопроводе подачи воды в котел, и вместо него присоединить шланг от кислотного агрегата или специального насоса;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отсоединить трубки манометра на трубках вентиля;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выходной паровой вентиль;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промыть парогенератор теплой водой;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прокачать кислотный раствор, подогретый до 65–70 градусов.</w:t>
      </w:r>
    </w:p>
    <w:p>
      <w:pPr>
        <w:spacing w:line="240" w:lineRule="auto"/>
        <w:rPr>
          <w:rFonts w:hAnsi="Times New Roman" w:cs="Times New Roman"/>
          <w:color w:val="000000"/>
          <w:sz w:val="24"/>
          <w:szCs w:val="24"/>
        </w:rPr>
      </w:pPr>
      <w:r>
        <w:rPr>
          <w:rFonts w:hAnsi="Times New Roman" w:cs="Times New Roman"/>
          <w:color w:val="000000"/>
          <w:sz w:val="24"/>
          <w:szCs w:val="24"/>
        </w:rPr>
        <w:t>5.2.7. В процессе прокачки раствора периодически проверять его концентрацию. Если концентрация раствора в течение 1,5–2 часов остается без изменения, то кислотную обработку можно прекратить.</w:t>
      </w:r>
    </w:p>
    <w:p>
      <w:pPr>
        <w:spacing w:line="240" w:lineRule="auto"/>
        <w:rPr>
          <w:rFonts w:hAnsi="Times New Roman" w:cs="Times New Roman"/>
          <w:color w:val="000000"/>
          <w:sz w:val="24"/>
          <w:szCs w:val="24"/>
        </w:rPr>
      </w:pPr>
      <w:r>
        <w:rPr>
          <w:rFonts w:hAnsi="Times New Roman" w:cs="Times New Roman"/>
          <w:color w:val="000000"/>
          <w:sz w:val="24"/>
          <w:szCs w:val="24"/>
        </w:rPr>
        <w:t>5.2.8. После этого раствор сливается из парогенератора, и он вторично промывается водой в течение 2 часов.</w:t>
      </w:r>
    </w:p>
    <w:p>
      <w:pPr>
        <w:spacing w:line="240" w:lineRule="auto"/>
        <w:rPr>
          <w:rFonts w:hAnsi="Times New Roman" w:cs="Times New Roman"/>
          <w:color w:val="000000"/>
          <w:sz w:val="24"/>
          <w:szCs w:val="24"/>
        </w:rPr>
      </w:pPr>
      <w:r>
        <w:rPr>
          <w:rFonts w:hAnsi="Times New Roman" w:cs="Times New Roman"/>
          <w:color w:val="000000"/>
          <w:sz w:val="24"/>
          <w:szCs w:val="24"/>
        </w:rPr>
        <w:t>5.2.9. Для нейтрализации остатков кислоты парогенератор необходимо промыть циркулирующим раствором тринатрийфосфата в течение 3–4 часов, раствор щелочи должен быть подогрет до высокой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5.2.10. После щелочения парогенератор вновь промывается водой в течение 1 часа.</w:t>
      </w:r>
    </w:p>
    <w:p>
      <w:pPr>
        <w:spacing w:line="240" w:lineRule="auto"/>
        <w:rPr>
          <w:rFonts w:hAnsi="Times New Roman" w:cs="Times New Roman"/>
          <w:color w:val="000000"/>
          <w:sz w:val="24"/>
          <w:szCs w:val="24"/>
        </w:rPr>
      </w:pPr>
      <w:r>
        <w:rPr>
          <w:rFonts w:hAnsi="Times New Roman" w:cs="Times New Roman"/>
          <w:color w:val="000000"/>
          <w:sz w:val="24"/>
          <w:szCs w:val="24"/>
        </w:rPr>
        <w:t>5.2.11. В случае попадания кислоты на участки тела нужно обильно промыть водой и, если есть необходимость, нужно обратиться в поликлинику.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создания аварийных ситуаций, связанных с прорывом технологических трубопроводов или арматуры скважины, немедленно поставьте в известность руководителя работ (старшего) и действуйте в соответствии с планом ликвидации возможных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неисправности оборудования, приспособлений или других нарушениях нормальной работы при тепловых обработках, снижающих безопасность обслуживающего персонала, примите меры к немедленной остановке установки и прекращению работы.</w:t>
      </w:r>
    </w:p>
    <w:p>
      <w:pPr>
        <w:spacing w:line="240" w:lineRule="auto"/>
        <w:rPr>
          <w:rFonts w:hAnsi="Times New Roman" w:cs="Times New Roman"/>
          <w:color w:val="000000"/>
          <w:sz w:val="24"/>
          <w:szCs w:val="24"/>
        </w:rPr>
      </w:pPr>
      <w:r>
        <w:rPr>
          <w:rFonts w:hAnsi="Times New Roman" w:cs="Times New Roman"/>
          <w:color w:val="000000"/>
          <w:sz w:val="24"/>
          <w:szCs w:val="24"/>
        </w:rPr>
        <w:t>6.3.3. Для предотвращения аварии немедленная остановка парогенератора необходима в следующих случаях: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объем воды в цистерне меньше 100–150 литров;</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температура пара быстро поднимается выше 300 градусов;</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стрелка манометра переходит черту предельного допустимого давления 100 кг/см в результате быстрого возрастания давления пара;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 двигатель, насос, вентилятор, манометр, предохранительные клапаны;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парогенераторе обнаружена течь, трещина или другое повреждение;</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расплавилась предохранительная легкоплавкая вставка.</w:t>
      </w:r>
    </w:p>
    <w:p>
      <w:pPr>
        <w:spacing w:line="240" w:lineRule="auto"/>
        <w:rPr>
          <w:rFonts w:hAnsi="Times New Roman" w:cs="Times New Roman"/>
          <w:color w:val="000000"/>
          <w:sz w:val="24"/>
          <w:szCs w:val="24"/>
        </w:rPr>
      </w:pPr>
      <w:r>
        <w:rPr>
          <w:rFonts w:hAnsi="Times New Roman" w:cs="Times New Roman"/>
          <w:color w:val="000000"/>
          <w:sz w:val="24"/>
          <w:szCs w:val="24"/>
        </w:rPr>
        <w:t>6.3.4. Остановка парогенератора производится в следующей последовательности: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немедленном прекращении работы установки необходимо отсечь подачу топлива к форсунке выключением тумблера;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продуть топливную камеру парового котла воздухом (полностью открыть заслонку воздуховода);</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выключить привод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возникновения пожара необходимо: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технологические операции;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электроэнергию;</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удалению людей из опасной зоны;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умело и быстро выполнить обязанности, изложенные в плане ликвидации аварий;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очаг пожара от окружающего воздуха;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горящие объемы заполнить негорючими газами или паром;</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искусственному снижению температуры горящего вещества.</w:t>
      </w:r>
    </w:p>
    <w:p>
      <w:pPr>
        <w:spacing w:line="240" w:lineRule="auto"/>
        <w:rPr>
          <w:rFonts w:hAnsi="Times New Roman" w:cs="Times New Roman"/>
          <w:color w:val="000000"/>
          <w:sz w:val="24"/>
          <w:szCs w:val="24"/>
        </w:rPr>
      </w:pPr>
      <w:r>
        <w:rPr>
          <w:rFonts w:hAnsi="Times New Roman" w:cs="Times New Roman"/>
          <w:color w:val="000000"/>
          <w:sz w:val="24"/>
          <w:szCs w:val="24"/>
        </w:rPr>
        <w:t>В большинстве случаев горение ликвидируется одновременным применением нескольких методов.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3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разборку паропроводов производить после их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7.2.2. В нерабочее время машина должна находиться в положении, исключающем возможность ее пуска посторонними лицами, для чего необходимо запирать дверь на ключ.</w:t>
      </w:r>
    </w:p>
    <w:p>
      <w:pPr>
        <w:spacing w:line="240" w:lineRule="auto"/>
        <w:rPr>
          <w:rFonts w:hAnsi="Times New Roman" w:cs="Times New Roman"/>
          <w:color w:val="000000"/>
          <w:sz w:val="24"/>
          <w:szCs w:val="24"/>
        </w:rPr>
      </w:pPr>
      <w:r>
        <w:rPr>
          <w:rFonts w:hAnsi="Times New Roman" w:cs="Times New Roman"/>
          <w:color w:val="000000"/>
          <w:sz w:val="24"/>
          <w:szCs w:val="24"/>
        </w:rPr>
        <w:t>7.2.3. Отключить оборудование, закрыть подачу пара, газа, воды и т. п. Произвести очистку оборудования после отключения электроэнергии.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Приспособления, инструмент убрать и уложить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4c6b36b2fe3426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