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по эксплуатации тракторной техники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по эксплуатации тракторной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допускаются лица не моложе 18 лет, имеющие соответствующую квалификацию, прошедшие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получении от руководителя работ задания ознакомиться с маршрутами движения к месту работы и схемой движения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исправность и комплектность инструмента и приспособлений на тракторе, наличие и укомплектованность аптечки, средств пожаротушения (огнетушитель и лопата).</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наличии, исправности, надежности крепления и фиксации защитных ограждений вращающихся и движущихся узлов 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подтекания топлива, масла и воды;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легкость и надежность переключения рычагов механизмов системы пуска;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механизма блокировки, исключающего запуск двигателя при включенной передаче. Запрещается эксплуатировать машины с неисправным механизмом блокировки запуска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оборудования кабины: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стекла кабины не должны иметь трещин и других повреждений, ухудшающих видимость. Устанавливать непрозрачные материалы вместо стекол и нестандартные стекла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замки дверей кабины должны исключать возможность их самопроизвольного открывания;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 кабины должен быть закрыт рифленым ковриком из маслобензиностойкого материала, а в местах прохождения рычагов и педалей должны быть установлены уплотнители, предотвращающие проникновение пыли и шума в кабину;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рычаги и педали управления рабочими органами машин и орудий должны легко перемещаться и автоматически возвращаться в исходное положение или надежно фиксироваться;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опоры (подножки и лестницы) и поручни (перила и ручки) должны быть в исправном и чистом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исправность тормозной системы: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тормоза должны быть отрегулированы на одновременное торможение колес при сблокированных педалях. При этом педали правого и левого тормозов должны иметь одинаковую величину хода, которая должна отвечать требованиям инструкции по эксплуатации машин;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манометр системы пневматических тормозов должен быть в исправном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механическом приводе тормозов не допустимо заедание рычагов и колодок, расшплинтовка соединений и наличие трещин, а в гидравлическом приводе тормозов — подтекание тормозной жидкости в тормозных цилиндрах, шлангах, трубках и соединениях;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отпущенной педали тормоза колеса должны полностью растормаживаться.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рулевого управления. Оно должно обеспечивать легкость, надежность и безопасность управления машиной. В системе рулевого управления машин не допускаются: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подтекание масла в местах соединения маслопроводов;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люфт рулевого колеса машины свыше 25 град. при работающем двигателе или свыше норм, установленных инструкциями заводов-изготовителей;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деталей со следами остаточной деформации, трещинами и другими дефектами, а также использование деталей и рабочих жидкостей, не предусмотренных для данной марки машины или не соответствующих требованиям завода — изготовителя машины;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шплинтовка соединительных пальцев рулевых тяг нестандартными или бывшими в употреблении шплинтами;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неполное торможение барабана механизмом управления тормозами планетарного механизма поворота при полном перемещении рычагов управления на себя.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ходовой части: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шины не должны иметь повреждений (порезы, разрывы и т.п.), обнажающих корд, расслоения каркаса, а также полного износа рисунка протектора;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колеса должны надежно крепиться к ступице, отсутствие на ступице хотя бы одной гайки для крепления колеса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звенья гусеничной цепи с поломанными проушинами следует заменять, пальцы гусениц шплинтовать заводскими или изготовленными по образцу шплинтами;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крыльев над колесами и щитов над гусеницами тракторов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силовой передачи: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муфта сцепления должна плавно включаться, передавая полный крутящий момент, и выключаться, пробуксовка муфты в выключенном положении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гидравлическом приводе муфты сцепления не допускается подтекание жидкости из магистрали;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передачи КПП должны включаться легко, без скрежета, и не должны самопроизвольно выключаться.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уровень масла в гидросистеме коробки перемены передач.</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электрооборудование должно обеспечивать нормальную работу контрольно-измерительных приборов, а также исключать возможность искрообразования и утечек тока в проводах и клеммах;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электропроводка должна быть предохранена от механических повреждений, воздействия высоких температур, попадания масла и топлива;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клеммы генератора, аккумулятора, стартера и другого электрооборудования должны быть защищены колпачками, а крыльчатка генератора — кожухом;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аккумуляторные батареи должны находиться в местах, предусмотренных конструкцией, надежно закреплены, закрыты крышкой и не иметь утечки электролита, вентиляционные отверстия пробок должны быть очищены от засорения.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механизма навески и системы гидроуправления: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отверстия в прицепной серьге трактора и прицепном устройстве сельскохозяйственных машин не должны быть овальными, штырь должен шплинтоваться;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соединения шлангов гидросистемы должны быть надежными и не допускать подтекания масла в гидросистеме;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гидравлические шланги расположите и закрепите так, чтобы во время работы они не касались подвижных деталей машины.</w:t>
      </w:r>
    </w:p>
    <w:p>
      <w:pPr>
        <w:spacing w:line="240" w:lineRule="auto"/>
        <w:rPr>
          <w:rFonts w:hAnsi="Times New Roman" w:cs="Times New Roman"/>
          <w:color w:val="000000"/>
          <w:sz w:val="24"/>
          <w:szCs w:val="24"/>
        </w:rPr>
      </w:pPr>
      <w:r>
        <w:rPr>
          <w:rFonts w:hAnsi="Times New Roman" w:cs="Times New Roman"/>
          <w:color w:val="000000"/>
          <w:sz w:val="24"/>
          <w:szCs w:val="24"/>
        </w:rPr>
        <w:t>4.4.7. Перед запуском двигателя убедиться в том, что: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рычаги управления коробкой перемены передач, гидросистемой, валом отбора мощности, рабочими органами находятся в нейтральном или выключенном положении;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зоне возможного движения машины или агрегата (под машиной и под агрегатируемой машиной) нет людей;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шнур для запуска исправен, обладает достаточной прочностью и имеет рукоятку;</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соединение пускового шнура с маховиком надежно и для движения руки имеется достаточно свободного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4.4.8. При запуске пускового двигателя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ногу на гусеницу, на (под) опорный каток у гусеничных тракторов и находиться в зоне возможного движения колеса колесных тракторов;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наматывать пусковой шнур на руку;</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стоять в плоскости вращения маховика работающего пускового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4.4.9. Комплектование и наладка машинно-тракторных агрегатов должны осуществляться машинистом под руководством и при участии механика отделения (бригадира, помощника бригадира,) с привлечением в случае необходимости вспомогательных работников и применением инструмента и подъемных приспособлений, обеспечивающих безопасное выполнение этих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движения трактора к машине (орудию) необходимо подать звуковой сигнал, убедиться в отсутствии людей между трактором и машиной.</w:t>
      </w:r>
    </w:p>
    <w:p>
      <w:pPr>
        <w:spacing w:line="240" w:lineRule="auto"/>
        <w:rPr>
          <w:rFonts w:hAnsi="Times New Roman" w:cs="Times New Roman"/>
          <w:color w:val="000000"/>
          <w:sz w:val="24"/>
          <w:szCs w:val="24"/>
        </w:rPr>
      </w:pPr>
      <w:r>
        <w:rPr>
          <w:rFonts w:hAnsi="Times New Roman" w:cs="Times New Roman"/>
          <w:color w:val="000000"/>
          <w:sz w:val="24"/>
          <w:szCs w:val="24"/>
        </w:rPr>
        <w:t>4.4.11. При переезде машин к месту работы и обратно и выполнении транспортных работ отклонение от утвержденного маршрута движения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4.4.12. Перед работой необходимо убедиться, что поле для работы машин и машинно-тракторных агрегатов подготовлено: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убраны камни, растительные остатки, засыпаны ямы и т.п.;</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установлены вешки высотой 2,5 — 3 м у крупных камней, размытых участков и других препятствий;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проведены контрольные борозды на расстоянии не менее 10 м от обрыва, оврагов и т.п.;</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отбиты поворотные полосы;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обозначены места для отдыха, курения, расположения средств пожаротушения и аптечки.</w:t>
      </w:r>
    </w:p>
    <w:p>
      <w:pPr>
        <w:spacing w:line="240" w:lineRule="auto"/>
        <w:rPr>
          <w:rFonts w:hAnsi="Times New Roman" w:cs="Times New Roman"/>
          <w:color w:val="000000"/>
          <w:sz w:val="24"/>
          <w:szCs w:val="24"/>
        </w:rPr>
      </w:pPr>
      <w:r>
        <w:rPr>
          <w:rFonts w:hAnsi="Times New Roman" w:cs="Times New Roman"/>
          <w:color w:val="000000"/>
          <w:sz w:val="24"/>
          <w:szCs w:val="24"/>
        </w:rPr>
        <w:t>4.4.13. При приемке смены в случае непрерывной работы: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у сменщика все замеченные во время работы неисправности машины или агрегата, изменения технологии, маршрутов движения и способов движения на поле, расположение мест отдыха, курения, приема пищи, хранения средств пожаротушения, аптечки и т.п.;</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машину или агрегат, убедиться в их исправности;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том, что обслуживающий персонал занял свои рабочие места, а все рабочие предыдущей смены находятся на безопасном расстоянии или вне зоны движения агрегата.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Выезжать к месту проведения работ необходимо при наличии удостоверения и путевого листа (наряда), подписанного должностным лицом, ответственным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Количество людей, перевозимых одновременно в кабине трактора, определяется количеством мест в кабине.</w:t>
      </w:r>
    </w:p>
    <w:p>
      <w:pPr>
        <w:spacing w:line="240" w:lineRule="auto"/>
        <w:rPr>
          <w:rFonts w:hAnsi="Times New Roman" w:cs="Times New Roman"/>
          <w:color w:val="000000"/>
          <w:sz w:val="24"/>
          <w:szCs w:val="24"/>
        </w:rPr>
      </w:pPr>
      <w:r>
        <w:rPr>
          <w:rFonts w:hAnsi="Times New Roman" w:cs="Times New Roman"/>
          <w:color w:val="000000"/>
          <w:sz w:val="24"/>
          <w:szCs w:val="24"/>
        </w:rPr>
        <w:t>5.1.3. При перегоне тракторов и машинно-тракторных агрегатов агрегатируемые машины и другие рабочие органы переведите в транспортное положение. Дистанция при движении между машинами, агрегатами должна быть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перегоне по крутым склонам, через канавы и выбоины, на поворотах необходимо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оставлять без присмотра тракторы и машины с работающим двигателем. При длительной остановке необходимо заглушить двигатель, надежно затормозить машину, опустить рабочие органы (орудия).</w:t>
      </w:r>
    </w:p>
    <w:p>
      <w:pPr>
        <w:spacing w:line="240" w:lineRule="auto"/>
        <w:rPr>
          <w:rFonts w:hAnsi="Times New Roman" w:cs="Times New Roman"/>
          <w:color w:val="000000"/>
          <w:sz w:val="24"/>
          <w:szCs w:val="24"/>
        </w:rPr>
      </w:pPr>
      <w:r>
        <w:rPr>
          <w:rFonts w:hAnsi="Times New Roman" w:cs="Times New Roman"/>
          <w:color w:val="000000"/>
          <w:sz w:val="24"/>
          <w:szCs w:val="24"/>
        </w:rPr>
        <w:t>5.1.6. При движении по насыпи, плотине, гати расстояние от колес или гусениц машины до бровки насыпи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5.1.7. Очистку, регулировку, смазку машин и оборудования, устранение неисправностей осуществлять специальными инструментами и приспособлениями при выключенных рабочих органах и заглушенном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5.1.8. В темное время суток работать только при исправных световых приборах и достаточном освещении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5.1.9. При посадке (подъеме) в кабину (на площадку) машины необходимо очищать обувь от грязи и снега. При выходе (спуске) не вставать на кочки, комья земли, гребни колеи, узлы и детали, лежащие на земле.</w:t>
      </w:r>
    </w:p>
    <w:p>
      <w:pPr>
        <w:spacing w:line="240" w:lineRule="auto"/>
        <w:rPr>
          <w:rFonts w:hAnsi="Times New Roman" w:cs="Times New Roman"/>
          <w:color w:val="000000"/>
          <w:sz w:val="24"/>
          <w:szCs w:val="24"/>
        </w:rPr>
      </w:pPr>
      <w:r>
        <w:rPr>
          <w:rFonts w:hAnsi="Times New Roman" w:cs="Times New Roman"/>
          <w:color w:val="000000"/>
          <w:sz w:val="24"/>
          <w:szCs w:val="24"/>
        </w:rPr>
        <w:t>5.1.10. Работа на участках с крутыми склонами свыше 9° самоходных сельскохозяйственных тракторов и машин общего назначения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 Для остановки машин на склоне выберите участок с наименьшим уклоном. При возникновении неисправности в тормозной системе или ходовой части машина должна быть отбуксирована на жесткой сцепке на горизонтальную площадку или ровный участок дороги. Буксировка должна осуществляться трактором, масса которого не менее чем в 1,5-2 раза больше массы буксируемой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на склонах ширина разворотной полосы должна быть не менее двойной ширины захвата машинно-тракторного агрегата. Расстояние от края склона, обрыва до поворотной полосы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склоне двери кабины со стороны, обращенной к верхней части склона, держать закрепленными в открытом положении. Не допускается нахождения в кабине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При преодолении крутых, скользких подъемов (спусков) в составе колонны не начинать движение до тех пор, пока впереди идущая машина не преодолеет подъем (спуск).</w:t>
      </w:r>
    </w:p>
    <w:p>
      <w:pPr>
        <w:spacing w:line="240" w:lineRule="auto"/>
        <w:rPr>
          <w:rFonts w:hAnsi="Times New Roman" w:cs="Times New Roman"/>
          <w:color w:val="000000"/>
          <w:sz w:val="24"/>
          <w:szCs w:val="24"/>
        </w:rPr>
      </w:pPr>
      <w:r>
        <w:rPr>
          <w:rFonts w:hAnsi="Times New Roman" w:cs="Times New Roman"/>
          <w:color w:val="000000"/>
          <w:sz w:val="24"/>
          <w:szCs w:val="24"/>
        </w:rPr>
        <w:t>Подъем (спуск) преодолевать на низшей передаче без остановок и переключения передач.</w:t>
      </w:r>
    </w:p>
    <w:p>
      <w:pPr>
        <w:spacing w:line="240" w:lineRule="auto"/>
        <w:rPr>
          <w:rFonts w:hAnsi="Times New Roman" w:cs="Times New Roman"/>
          <w:color w:val="000000"/>
          <w:sz w:val="24"/>
          <w:szCs w:val="24"/>
        </w:rPr>
      </w:pPr>
      <w:r>
        <w:rPr>
          <w:rFonts w:hAnsi="Times New Roman" w:cs="Times New Roman"/>
          <w:color w:val="000000"/>
          <w:sz w:val="24"/>
          <w:szCs w:val="24"/>
        </w:rPr>
        <w:t>На подъемах и спусках большой протяженности увеличить дистанцию между машинами до 100 м.</w:t>
      </w:r>
    </w:p>
    <w:p>
      <w:pPr>
        <w:spacing w:line="240" w:lineRule="auto"/>
        <w:rPr>
          <w:rFonts w:hAnsi="Times New Roman" w:cs="Times New Roman"/>
          <w:color w:val="000000"/>
          <w:sz w:val="24"/>
          <w:szCs w:val="24"/>
        </w:rPr>
      </w:pPr>
      <w:r>
        <w:rPr>
          <w:rFonts w:hAnsi="Times New Roman" w:cs="Times New Roman"/>
          <w:color w:val="000000"/>
          <w:sz w:val="24"/>
          <w:szCs w:val="24"/>
        </w:rPr>
        <w:t>5.1.15. На дорогах с крутыми подъемами (спусками) не допускается: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по уклону с выключенным сцеплением или передачей;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буксировка машин, транспортных средств на гибкой сцепке и более одного транспортного средства на жесткой сцепке;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любая буксировка машин, тракторных прицепов при гололедице;</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стоянка машин в местах, откуда дорога не просматривается на 100 м в любом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в охранной зоне ЛЭП выполняются только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5.1.17. Работы машин (агрегатов) в охранной зоне ЛЭП проводятся в присутствии наблюдающего, который находится за пределами охранной зоны и наблюдает за работой машины. На машине может работать один человек, но при условии, что в 200 м от нее работают другие машины.</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останавливать машины в охранной зоне ЛЭП. В случае вынужденной остановки покинуть машину и удалиться за пределы охранной зоны ЛЭП, сообщите о случившемся руководителю работ. Устранение неисправности производить после буксировки машины за пределы охранной зоны ЛЭП.</w:t>
      </w:r>
    </w:p>
    <w:p>
      <w:pPr>
        <w:spacing w:line="240" w:lineRule="auto"/>
        <w:rPr>
          <w:rFonts w:hAnsi="Times New Roman" w:cs="Times New Roman"/>
          <w:color w:val="000000"/>
          <w:sz w:val="24"/>
          <w:szCs w:val="24"/>
        </w:rPr>
      </w:pPr>
      <w:r>
        <w:rPr>
          <w:rFonts w:hAnsi="Times New Roman" w:cs="Times New Roman"/>
          <w:color w:val="000000"/>
          <w:sz w:val="24"/>
          <w:szCs w:val="24"/>
        </w:rPr>
        <w:t>5.1.19. Проезд под ЛЭП осуществляйте ближе к опоре, убедившись в том, что расстояние между верхней точкой движущейся или перемещаемой машины и нижним проводом линии не менее:</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2617" w:type="dxa"/>
            <w:tcMar>
              <w:top w:w="75" w:type="dxa"/>
              <w:left w:w="75" w:type="dxa"/>
              <w:bottom w:w="75" w:type="dxa"/>
              <w:right w:w="75" w:type="dxa"/>
            </w:tcMar>
            <w:vAlign w:val="center"/>
          </w:tcPr>
          <w:p>
            <w:r>
              <w:rPr>
                <w:rFonts w:hAnsi="Times New Roman" w:cs="Times New Roman"/>
                <w:color w:val="000000"/>
                <w:sz w:val="24"/>
                <w:szCs w:val="24"/>
              </w:rPr>
              <w:t>напряжение линии, кВ</w:t>
            </w:r>
          </w:p>
        </w:tc>
        <w:tc>
          <w:tcPr>
            <w:tcW w:w="812" w:type="dxa"/>
            <w:tcMar>
              <w:top w:w="75" w:type="dxa"/>
              <w:left w:w="75" w:type="dxa"/>
              <w:bottom w:w="75" w:type="dxa"/>
              <w:right w:w="75" w:type="dxa"/>
            </w:tcMar>
            <w:vAlign w:val="center"/>
          </w:tcPr>
          <w:p>
            <w:r>
              <w:rPr>
                <w:rFonts w:hAnsi="Times New Roman" w:cs="Times New Roman"/>
                <w:color w:val="000000"/>
                <w:sz w:val="24"/>
                <w:szCs w:val="24"/>
              </w:rPr>
              <w:t>до 1</w:t>
            </w:r>
          </w:p>
        </w:tc>
        <w:tc>
          <w:tcPr>
            <w:tcW w:w="812" w:type="dxa"/>
            <w:tcMar>
              <w:top w:w="75" w:type="dxa"/>
              <w:left w:w="75" w:type="dxa"/>
              <w:bottom w:w="75" w:type="dxa"/>
              <w:right w:w="75" w:type="dxa"/>
            </w:tcMar>
            <w:vAlign w:val="center"/>
          </w:tcPr>
          <w:p>
            <w:r>
              <w:rPr>
                <w:rFonts w:hAnsi="Times New Roman" w:cs="Times New Roman"/>
                <w:color w:val="000000"/>
                <w:sz w:val="24"/>
                <w:szCs w:val="24"/>
              </w:rPr>
              <w:t>1 — 20</w:t>
            </w:r>
          </w:p>
        </w:tc>
        <w:tc>
          <w:tcPr>
            <w:tcW w:w="1083" w:type="dxa"/>
            <w:tcMar>
              <w:top w:w="75" w:type="dxa"/>
              <w:left w:w="75" w:type="dxa"/>
              <w:bottom w:w="75" w:type="dxa"/>
              <w:right w:w="75" w:type="dxa"/>
            </w:tcMar>
            <w:vAlign w:val="center"/>
          </w:tcPr>
          <w:p>
            <w:r>
              <w:rPr>
                <w:rFonts w:hAnsi="Times New Roman" w:cs="Times New Roman"/>
                <w:color w:val="000000"/>
                <w:sz w:val="24"/>
                <w:szCs w:val="24"/>
              </w:rPr>
              <w:t>35 — 110</w:t>
            </w:r>
          </w:p>
        </w:tc>
        <w:tc>
          <w:tcPr>
            <w:tcW w:w="1263" w:type="dxa"/>
            <w:tcMar>
              <w:top w:w="75" w:type="dxa"/>
              <w:left w:w="75" w:type="dxa"/>
              <w:bottom w:w="75" w:type="dxa"/>
              <w:right w:w="75" w:type="dxa"/>
            </w:tcMar>
            <w:vAlign w:val="center"/>
          </w:tcPr>
          <w:p>
            <w:r>
              <w:rPr>
                <w:rFonts w:hAnsi="Times New Roman" w:cs="Times New Roman"/>
                <w:color w:val="000000"/>
                <w:sz w:val="24"/>
                <w:szCs w:val="24"/>
              </w:rPr>
              <w:t>150 — 220</w:t>
            </w:r>
          </w:p>
        </w:tc>
        <w:tc>
          <w:tcPr>
            <w:tcW w:w="812" w:type="dxa"/>
            <w:tcMar>
              <w:top w:w="75" w:type="dxa"/>
              <w:left w:w="75" w:type="dxa"/>
              <w:bottom w:w="75" w:type="dxa"/>
              <w:right w:w="75" w:type="dxa"/>
            </w:tcMar>
            <w:vAlign w:val="center"/>
          </w:tcPr>
          <w:p>
            <w:r>
              <w:rPr>
                <w:rFonts w:hAnsi="Times New Roman" w:cs="Times New Roman"/>
                <w:color w:val="000000"/>
                <w:sz w:val="24"/>
                <w:szCs w:val="24"/>
              </w:rPr>
              <w:t>350</w:t>
            </w:r>
          </w:p>
        </w:tc>
        <w:tc>
          <w:tcPr>
            <w:tcW w:w="1354" w:type="dxa"/>
            <w:tcMar>
              <w:top w:w="75" w:type="dxa"/>
              <w:left w:w="75" w:type="dxa"/>
              <w:bottom w:w="75" w:type="dxa"/>
              <w:right w:w="75" w:type="dxa"/>
            </w:tcMar>
            <w:vAlign w:val="center"/>
          </w:tcPr>
          <w:p>
            <w:r>
              <w:rPr>
                <w:rFonts w:hAnsi="Times New Roman" w:cs="Times New Roman"/>
                <w:color w:val="000000"/>
                <w:sz w:val="24"/>
                <w:szCs w:val="24"/>
              </w:rPr>
              <w:t>500</w:t>
            </w:r>
          </w:p>
        </w:tc>
      </w:tr>
      <w:tr>
        <w:trPr>
          <w:trHeight w:val="0"/>
        </w:trPr>
        <w:tc>
          <w:tcPr>
            <w:tcW w:w="2617" w:type="dxa"/>
            <w:tcMar>
              <w:top w:w="75" w:type="dxa"/>
              <w:left w:w="75" w:type="dxa"/>
              <w:bottom w:w="75" w:type="dxa"/>
              <w:right w:w="75" w:type="dxa"/>
            </w:tcMar>
            <w:vAlign w:val="center"/>
          </w:tcPr>
          <w:p>
            <w:r>
              <w:rPr>
                <w:rFonts w:hAnsi="Times New Roman" w:cs="Times New Roman"/>
                <w:color w:val="000000"/>
                <w:sz w:val="24"/>
                <w:szCs w:val="24"/>
              </w:rPr>
              <w:t>расстояние, м</w:t>
            </w:r>
          </w:p>
        </w:tc>
        <w:tc>
          <w:tcPr>
            <w:tcW w:w="812" w:type="dxa"/>
            <w:tcMar>
              <w:top w:w="75" w:type="dxa"/>
              <w:left w:w="75" w:type="dxa"/>
              <w:bottom w:w="75" w:type="dxa"/>
              <w:right w:w="75" w:type="dxa"/>
            </w:tcMar>
            <w:vAlign w:val="center"/>
          </w:tcPr>
          <w:p>
            <w:r>
              <w:rPr>
                <w:rFonts w:hAnsi="Times New Roman" w:cs="Times New Roman"/>
                <w:color w:val="000000"/>
                <w:sz w:val="24"/>
                <w:szCs w:val="24"/>
              </w:rPr>
              <w:t>1</w:t>
            </w:r>
          </w:p>
        </w:tc>
        <w:tc>
          <w:tcPr>
            <w:tcW w:w="812" w:type="dxa"/>
            <w:tcMar>
              <w:top w:w="75" w:type="dxa"/>
              <w:left w:w="75" w:type="dxa"/>
              <w:bottom w:w="75" w:type="dxa"/>
              <w:right w:w="75" w:type="dxa"/>
            </w:tcMar>
            <w:vAlign w:val="center"/>
          </w:tcPr>
          <w:p>
            <w:r>
              <w:rPr>
                <w:rFonts w:hAnsi="Times New Roman" w:cs="Times New Roman"/>
                <w:color w:val="000000"/>
                <w:sz w:val="24"/>
                <w:szCs w:val="24"/>
              </w:rPr>
              <w:t>2</w:t>
            </w:r>
          </w:p>
        </w:tc>
        <w:tc>
          <w:tcPr>
            <w:tcW w:w="1083" w:type="dxa"/>
            <w:tcMar>
              <w:top w:w="75" w:type="dxa"/>
              <w:left w:w="75" w:type="dxa"/>
              <w:bottom w:w="75" w:type="dxa"/>
              <w:right w:w="75" w:type="dxa"/>
            </w:tcMar>
            <w:vAlign w:val="center"/>
          </w:tcPr>
          <w:p>
            <w:r>
              <w:rPr>
                <w:rFonts w:hAnsi="Times New Roman" w:cs="Times New Roman"/>
                <w:color w:val="000000"/>
                <w:sz w:val="24"/>
                <w:szCs w:val="24"/>
              </w:rPr>
              <w:t>3</w:t>
            </w:r>
          </w:p>
        </w:tc>
        <w:tc>
          <w:tcPr>
            <w:tcW w:w="1263" w:type="dxa"/>
            <w:tcMar>
              <w:top w:w="75" w:type="dxa"/>
              <w:left w:w="75" w:type="dxa"/>
              <w:bottom w:w="75" w:type="dxa"/>
              <w:right w:w="75" w:type="dxa"/>
            </w:tcMar>
            <w:vAlign w:val="center"/>
          </w:tcPr>
          <w:p>
            <w:r>
              <w:rPr>
                <w:rFonts w:hAnsi="Times New Roman" w:cs="Times New Roman"/>
                <w:color w:val="000000"/>
                <w:sz w:val="24"/>
                <w:szCs w:val="24"/>
              </w:rPr>
              <w:t>4</w:t>
            </w:r>
          </w:p>
        </w:tc>
        <w:tc>
          <w:tcPr>
            <w:tcW w:w="812" w:type="dxa"/>
            <w:tcMar>
              <w:top w:w="75" w:type="dxa"/>
              <w:left w:w="75" w:type="dxa"/>
              <w:bottom w:w="75" w:type="dxa"/>
              <w:right w:w="75" w:type="dxa"/>
            </w:tcMar>
            <w:vAlign w:val="center"/>
          </w:tcPr>
          <w:p>
            <w:r>
              <w:rPr>
                <w:rFonts w:hAnsi="Times New Roman" w:cs="Times New Roman"/>
                <w:color w:val="000000"/>
                <w:sz w:val="24"/>
                <w:szCs w:val="24"/>
              </w:rPr>
              <w:t>5</w:t>
            </w:r>
          </w:p>
        </w:tc>
        <w:tc>
          <w:tcPr>
            <w:tcW w:w="1354" w:type="dxa"/>
            <w:tcMar>
              <w:top w:w="75" w:type="dxa"/>
              <w:left w:w="75" w:type="dxa"/>
              <w:bottom w:w="75" w:type="dxa"/>
              <w:right w:w="75" w:type="dxa"/>
            </w:tcMar>
            <w:vAlign w:val="center"/>
          </w:tcPr>
          <w:p>
            <w:r>
              <w:rPr>
                <w:rFonts w:hAnsi="Times New Roman" w:cs="Times New Roman"/>
                <w:color w:val="000000"/>
                <w:sz w:val="24"/>
                <w:szCs w:val="24"/>
              </w:rPr>
              <w:t>6</w:t>
            </w:r>
          </w:p>
        </w:tc>
      </w:tr>
    </w:tbl>
    <w:p>
      <w:pPr>
        <w:spacing w:line="240" w:lineRule="auto"/>
        <w:rPr>
          <w:rFonts w:hAnsi="Times New Roman" w:cs="Times New Roman"/>
          <w:color w:val="000000"/>
          <w:sz w:val="24"/>
          <w:szCs w:val="24"/>
        </w:rPr>
      </w:pPr>
      <w:r>
        <w:rPr>
          <w:rFonts w:hAnsi="Times New Roman" w:cs="Times New Roman"/>
          <w:color w:val="000000"/>
          <w:sz w:val="24"/>
          <w:szCs w:val="24"/>
        </w:rPr>
        <w:t>5.1.20. Переправу машины через водные преграды осуществляйте в специально подготовленных местах, предназначенных для этой цели и обозначенных соответствующими знаками 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5.1.21. Перед переправой (на плавсредствах, вброд, по льду и т.д.) подробно ознакомиться у руководителя работ с местом переправы и мерами безопасности при ее проведении.</w:t>
      </w:r>
    </w:p>
    <w:p>
      <w:pPr>
        <w:spacing w:line="240" w:lineRule="auto"/>
        <w:rPr>
          <w:rFonts w:hAnsi="Times New Roman" w:cs="Times New Roman"/>
          <w:color w:val="000000"/>
          <w:sz w:val="24"/>
          <w:szCs w:val="24"/>
        </w:rPr>
      </w:pPr>
      <w:r>
        <w:rPr>
          <w:rFonts w:hAnsi="Times New Roman" w:cs="Times New Roman"/>
          <w:color w:val="000000"/>
          <w:sz w:val="24"/>
          <w:szCs w:val="24"/>
        </w:rPr>
        <w:t>5.1.22. Не осуществлять переправу с использованием неисправных или ненадежных переправочных средств и в условиях, не гарантирующих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переправа через водные преграды в паводки, во время сильного дождя, снега, тумана, ледохода, при сильном ветре.</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переезде машин через реки и ручьи вброд необходимо следить, чтобы уровень воды не превышал высоты верхнего полотна гусеницы или осей колесных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5.1.25. Смена, очистка и регулировка рабочих органов навесных сельскохозяйственных орудий и машин, находящихся в поднятом состоянии, должна проводиться только после принятия мер, предупреждающих самопроизвольное их опускание.</w:t>
      </w:r>
    </w:p>
    <w:p>
      <w:pPr>
        <w:spacing w:line="240" w:lineRule="auto"/>
        <w:rPr>
          <w:rFonts w:hAnsi="Times New Roman" w:cs="Times New Roman"/>
          <w:color w:val="000000"/>
          <w:sz w:val="24"/>
          <w:szCs w:val="24"/>
        </w:rPr>
      </w:pPr>
      <w:r>
        <w:rPr>
          <w:rFonts w:hAnsi="Times New Roman" w:cs="Times New Roman"/>
          <w:color w:val="000000"/>
          <w:sz w:val="24"/>
          <w:szCs w:val="24"/>
        </w:rPr>
        <w:t>5.1.26. Технологическое оборудование, перед вводом в эксплуатацию должно приводиться в технически исправное состояние в соответствии с требованиями, изложенным в эксплуатационной документации изготовителей, и поддерживаться в исправном состоянии на протяжении всего периода эксплуатации проведением его технического обслуживания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5.1.27. Новое, отремонтированное или находившееся длительное время на консервации технологическое оборудование, используемое при проведении сельскохозяйственных работ, должно подвергаться обкатке под руководством работника, ответственного за его техническое состояние, в соответствии с требованиями эксплуатационной документации 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5.1.28. В полевых условиях заправка нефтепродуктами должна осуществляться на специальных площадках, очищенных от сухой травы, огнеопасного мусора и опаханных полосой не менее 4 м или на пахоте на расстоянии 100 м от токов, стогов сена и соломы, хлебных массивов и не менее 50 м от строений. Заправка топливом тракторов, комбайнов и других машин должна производиться механизированно.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зажатие.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 машину или агрегат остановить или отбуксировать в безопасное место, заглушить двигатель (прекратить подачу топлива), а очаг огня тушить огнетушителями или подручными материалами — песком, землей, брезентом, кошмой или мешковиной. Принять меры, чтобы огонь не распространился на топливный бак. При отсутствии возможности самостоятельно справиться с пожаром, отойти от машины или агрегата на безопасное расстояние и принять меры для избежания подхода к ним людей, сообщить о пожаре по телефону 101 или 112 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аварии или чрезмерного увеличения частоты вращения коленчатого вала двигателя трактора немедленно выключите подачу топлива и воспользуйтесь системой аварийной остановки двигателя (на машинах, у которых она предусмотрена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Если после прекращения подачи топлива двигатель продолжает некоторое время работать, то, по возможности, закройте доступ воздуха в воздухоочиститель двигателя с помощью ветоши или другого мягкого подручного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соприкосновения машины с проводом линии электропередачи, не покидая рабочее место, немедленно остановите машину, сигналом привлеките внимание наблюдающего или ближайшего человека, которые должны сообщить о случившемся администрации или предприятию электрических сетей (ПЭС). До прибытия бригады не предпринимайте никаких самостоятельных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Если в результате электрического разряда машина загорелась, немедленно покиньте ее так, чтобы не было одновременного соприкосновения человека с машиной и землей. Для этого спрыгивайте на землю на обе сомкнутые ноги, не держась за машину, и удаляйтесь от нее прыжками на одной или двух сомкнутых вместе ногах на расстояние не менее 20 м. Примите меры, исключающие подход людей к горящей машине, сообщите о случившемся руководителю работ. До прибытия специальной бригады не предпринимайте никаких мер для тушения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Опустить рабочие органы, рычаг коробки передач перевести в нейтральное положение, затормозить,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(совместно с обслуживающим персоналом) агрегат, машину от грязи, пыли и растительных остатков, при необходимости помыть их водой и установить на место стоянки.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5694fc55584c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