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сцены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сцены.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сцены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подъемно-транспортные устройства, вращающиеся и перемещающиеся приспособления;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статистические и динамические нагрузки;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4.2.4.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Деревянные и металлические конструкции декораций, станков, постановочных фурок и поворотных кругов должны соответствовать требованиям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 Сварные соединения не должны иметь изломов, смещений кромок соединяемых элементов, трещин, наплывов, прожогов, незаваренных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5.1.3. Выступающие над поверхностью деревянного станка металлические части должны быть без острых углов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5.1.4. Бруски съемных щитов в пролетах между станками рассчитываются на одинаковую со станком нагрузку. Съемные щиты станков должны укладываться на рамки без щелей и выступов.</w:t>
      </w:r>
    </w:p>
    <w:p>
      <w:pPr>
        <w:spacing w:line="240" w:lineRule="auto"/>
        <w:rPr>
          <w:rFonts w:hAnsi="Times New Roman" w:cs="Times New Roman"/>
          <w:color w:val="000000"/>
          <w:sz w:val="24"/>
          <w:szCs w:val="24"/>
        </w:rPr>
      </w:pPr>
      <w:r>
        <w:rPr>
          <w:rFonts w:hAnsi="Times New Roman" w:cs="Times New Roman"/>
          <w:color w:val="000000"/>
          <w:sz w:val="24"/>
          <w:szCs w:val="24"/>
        </w:rPr>
        <w:t>5.1.5. Постановочные станки для размещения на них людей в массовых сценах, хора, оркестра рассчитываются на нормативную нагрузку 5 кН/м с коэффициентом перегрузки 1,3.</w:t>
      </w:r>
    </w:p>
    <w:p>
      <w:pPr>
        <w:spacing w:line="240" w:lineRule="auto"/>
        <w:rPr>
          <w:rFonts w:hAnsi="Times New Roman" w:cs="Times New Roman"/>
          <w:color w:val="000000"/>
          <w:sz w:val="24"/>
          <w:szCs w:val="24"/>
        </w:rPr>
      </w:pPr>
      <w:r>
        <w:rPr>
          <w:rFonts w:hAnsi="Times New Roman" w:cs="Times New Roman"/>
          <w:color w:val="000000"/>
          <w:sz w:val="24"/>
          <w:szCs w:val="24"/>
        </w:rPr>
        <w:t>5.1.6. Покрытие станков с уклоном более 15° снабжается поперечными рейками, резиновыми полосами или другими приспособлениями, предохраняющими от скольжения. Если в случае с художественными задачами невозможно применение данных приспособлений и при подъеме и спуске по наклонной плоскости возникают риски падения, разрабатываются варианты устойчивого перемещения артиста (в том числе специальная обувь), которые отражаются в инструкции по безопасному проведению мизансцен, в соответствии с которыми впоследствии производится инструктаж с артистами.</w:t>
      </w:r>
    </w:p>
    <w:p>
      <w:pPr>
        <w:spacing w:line="240" w:lineRule="auto"/>
        <w:rPr>
          <w:rFonts w:hAnsi="Times New Roman" w:cs="Times New Roman"/>
          <w:color w:val="000000"/>
          <w:sz w:val="24"/>
          <w:szCs w:val="24"/>
        </w:rPr>
      </w:pPr>
      <w:r>
        <w:rPr>
          <w:rFonts w:hAnsi="Times New Roman" w:cs="Times New Roman"/>
          <w:color w:val="000000"/>
          <w:sz w:val="24"/>
          <w:szCs w:val="24"/>
        </w:rPr>
        <w:t>5.1.7. Станок, рабочая часть которого выступает за габариты опоры, рассчитывается на устойчивость. Коэффициент устойчивости должен быть не менее 2.</w:t>
      </w:r>
    </w:p>
    <w:p>
      <w:pPr>
        <w:spacing w:line="240" w:lineRule="auto"/>
        <w:rPr>
          <w:rFonts w:hAnsi="Times New Roman" w:cs="Times New Roman"/>
          <w:color w:val="000000"/>
          <w:sz w:val="24"/>
          <w:szCs w:val="24"/>
        </w:rPr>
      </w:pPr>
      <w:r>
        <w:rPr>
          <w:rFonts w:hAnsi="Times New Roman" w:cs="Times New Roman"/>
          <w:color w:val="000000"/>
          <w:sz w:val="24"/>
          <w:szCs w:val="24"/>
        </w:rPr>
        <w:t>5.1.8. Станки, используемые в качестве опоры для накидных лестниц, должны рассчитываться на устойчивость. Коэффициент устойчивости принимается не менее 2.</w:t>
      </w:r>
    </w:p>
    <w:p>
      <w:pPr>
        <w:spacing w:line="240" w:lineRule="auto"/>
        <w:rPr>
          <w:rFonts w:hAnsi="Times New Roman" w:cs="Times New Roman"/>
          <w:color w:val="000000"/>
          <w:sz w:val="24"/>
          <w:szCs w:val="24"/>
        </w:rPr>
      </w:pPr>
      <w:r>
        <w:rPr>
          <w:rFonts w:hAnsi="Times New Roman" w:cs="Times New Roman"/>
          <w:color w:val="000000"/>
          <w:sz w:val="24"/>
          <w:szCs w:val="24"/>
        </w:rPr>
        <w:t>5.1.9. Соединение сборно-разборных станков должно быть не допускающим их случайного разъединения.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5.1.10. При установке станков и пандусов на фурке и прочих подвижных поверхностях должна быть обеспечена устойчивость сборки и исключена возможность смещения.</w:t>
      </w:r>
    </w:p>
    <w:p>
      <w:pPr>
        <w:spacing w:line="240" w:lineRule="auto"/>
        <w:rPr>
          <w:rFonts w:hAnsi="Times New Roman" w:cs="Times New Roman"/>
          <w:color w:val="000000"/>
          <w:sz w:val="24"/>
          <w:szCs w:val="24"/>
        </w:rPr>
      </w:pPr>
      <w:r>
        <w:rPr>
          <w:rFonts w:hAnsi="Times New Roman" w:cs="Times New Roman"/>
          <w:color w:val="000000"/>
          <w:sz w:val="24"/>
          <w:szCs w:val="24"/>
        </w:rPr>
        <w:t>5.1.11. Конструкция лестниц должна быть жесткой и устойчивой.</w:t>
      </w:r>
    </w:p>
    <w:p>
      <w:pPr>
        <w:spacing w:line="240" w:lineRule="auto"/>
        <w:rPr>
          <w:rFonts w:hAnsi="Times New Roman" w:cs="Times New Roman"/>
          <w:color w:val="000000"/>
          <w:sz w:val="24"/>
          <w:szCs w:val="24"/>
        </w:rPr>
      </w:pPr>
      <w:r>
        <w:rPr>
          <w:rFonts w:hAnsi="Times New Roman" w:cs="Times New Roman"/>
          <w:color w:val="000000"/>
          <w:sz w:val="24"/>
          <w:szCs w:val="24"/>
        </w:rPr>
        <w:t>5.1.12. Опорная плита накладного круга должна опираться на несущие элементы перекрытия планшета и прочно закрепляться. Крепление направляющих для катков (колес) на планшете сцены, эстрады должно исключать их смещение во время вращения круга.</w:t>
      </w:r>
    </w:p>
    <w:p>
      <w:pPr>
        <w:spacing w:line="240" w:lineRule="auto"/>
        <w:rPr>
          <w:rFonts w:hAnsi="Times New Roman" w:cs="Times New Roman"/>
          <w:color w:val="000000"/>
          <w:sz w:val="24"/>
          <w:szCs w:val="24"/>
        </w:rPr>
      </w:pPr>
      <w:r>
        <w:rPr>
          <w:rFonts w:hAnsi="Times New Roman" w:cs="Times New Roman"/>
          <w:color w:val="000000"/>
          <w:sz w:val="24"/>
          <w:szCs w:val="24"/>
        </w:rPr>
        <w:t>5.1.13. Настил круга должен крепиться к каркасу круга.</w:t>
      </w:r>
    </w:p>
    <w:p>
      <w:pPr>
        <w:spacing w:line="240" w:lineRule="auto"/>
        <w:rPr>
          <w:rFonts w:hAnsi="Times New Roman" w:cs="Times New Roman"/>
          <w:color w:val="000000"/>
          <w:sz w:val="24"/>
          <w:szCs w:val="24"/>
        </w:rPr>
      </w:pPr>
      <w:r>
        <w:rPr>
          <w:rFonts w:hAnsi="Times New Roman" w:cs="Times New Roman"/>
          <w:color w:val="000000"/>
          <w:sz w:val="24"/>
          <w:szCs w:val="24"/>
        </w:rPr>
        <w:t>5.1.14. Конструкция фурки должна обеспечивать равномерное распределение нагрузки на все опоры (ходовые ролики) фурки.</w:t>
      </w:r>
    </w:p>
    <w:p>
      <w:pPr>
        <w:spacing w:line="240" w:lineRule="auto"/>
        <w:rPr>
          <w:rFonts w:hAnsi="Times New Roman" w:cs="Times New Roman"/>
          <w:color w:val="000000"/>
          <w:sz w:val="24"/>
          <w:szCs w:val="24"/>
        </w:rPr>
      </w:pPr>
      <w:r>
        <w:rPr>
          <w:rFonts w:hAnsi="Times New Roman" w:cs="Times New Roman"/>
          <w:color w:val="000000"/>
          <w:sz w:val="24"/>
          <w:szCs w:val="24"/>
        </w:rPr>
        <w:t>5.1.15. При движении фурок по направляющим последние должны прочно крепиться к планшету. Зазоры и неровности в стыках направляющих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5.1.16. Транспортер, применяемый на сцене, должен быть изготовлен не кустарным способом, а в соответствии с проектной документацией, разработанной в соответствии с техническим заданием.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работа сценических механизмов в случаях: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ослабления креплений в стыках металлоконструкций или деталей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механизмов или недопустимого износа их деталей, канатов, стяжек;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концевых выключателей, сигнальных приборов, тормозных устройств;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несоответствия оборудования заявленным паспортным данным.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в сценических механизмах и в оборудовании машинист сцены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электропитание, поступающее на механизмы и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старшему машинисту сцены.</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помощнику режиссера (режиссеру) или руководителю постановочной части;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электропитание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Проконтролировать, чтобы после разборки декораций все части декораций и материалы были убраны в предназначенное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отсутствие на планшете сцены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7.3.3. Убрать инструмент, средства защиты и предохранительные пояса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809575659c841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