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моторного цеха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моторного цеха.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моторного цеха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ручного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ручка шила и ножа должна иметь металлическое кольцо, предохраняющее ее от раскалывания;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молоток должен быть насажен на рукоятку овального сечения, расклиненную металлическим клином и изготовленную из твердых и вязких пород дерева;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боек молотка должен иметь ровную, слегка выпуклую поверхность; запрещается работать молотком со сбитым бойком, имеющим трещины, а также плохо закрепленным на рукоятке;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зубило и другой ударный инструмент должны быть длиной не менее 150 мм;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гаечные ключи должны быть исправными и соответствовать размеру гаек; запрещается работать гаечными ключами с прокладками, удлинять их трубами и применять контрключи.</w:t>
      </w:r>
    </w:p>
    <w:p>
      <w:pPr>
        <w:spacing w:line="240" w:lineRule="auto"/>
        <w:rPr>
          <w:rFonts w:hAnsi="Times New Roman" w:cs="Times New Roman"/>
          <w:color w:val="000000"/>
          <w:sz w:val="24"/>
          <w:szCs w:val="24"/>
        </w:rPr>
      </w:pPr>
      <w:r>
        <w:rPr>
          <w:rFonts w:hAnsi="Times New Roman" w:cs="Times New Roman"/>
          <w:color w:val="000000"/>
          <w:sz w:val="24"/>
          <w:szCs w:val="24"/>
        </w:rPr>
        <w:t>4.4.5. Все изолирующие части инструмента должны иметь гладкую поверхность, не иметь трещин,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работы с электроинструментом следует проверить: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4.4.8.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4.4.10.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5.1.5. Для снятия, установки и перемещения на рабочем месте тяжелых (массой более 15 кг) деталей, узлов и агрегатов должны быть предусмотрены грузоподъемные устройства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5.1.6. При снятии и установке агрегатов и узлов, которые после отсоединения от транспортного средства могут оказаться в подвешенном состоянии, необходимо применять страхующие (фиксирующие) устройства и приспособления (тележки-подъемники, подставки, канатные петли, крюки), исключающие самопроизвольное смещение или падение снимаемых или устанавливаемых агрегатов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5.1.7. Перед снятием узлов и агрегатов систем питания, охлаждения и смазки транспортных средств,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проливание.</w:t>
      </w:r>
    </w:p>
    <w:p>
      <w:pPr>
        <w:spacing w:line="240" w:lineRule="auto"/>
        <w:rPr>
          <w:rFonts w:hAnsi="Times New Roman" w:cs="Times New Roman"/>
          <w:color w:val="000000"/>
          <w:sz w:val="24"/>
          <w:szCs w:val="24"/>
        </w:rPr>
      </w:pPr>
      <w:r>
        <w:rPr>
          <w:rFonts w:hAnsi="Times New Roman" w:cs="Times New Roman"/>
          <w:color w:val="000000"/>
          <w:sz w:val="24"/>
          <w:szCs w:val="24"/>
        </w:rPr>
        <w:t>5.1.8. Разлитое масло или топливо необходимо немедленно удалять с помощью песка, опилок или органических сорбентов, которые после использования следует помещать в металлические емкости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5.1.10. При мойке агрегатов, узлов и деталей транспортных средств необходимо соблюдать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концентрация щелочных растворов должна быть не более 2-5%;</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мойки щелочным раствором обязательна промывка горячей водой;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агрегаты и детали массой, превышающей предельно установленную для ручного подъема и перемещения работниками, необходимо доставлять на пост мойки и загружать в моечные установки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Моечные ванны с керосином и другими моющими средствами, предусмотренными технологическим процессом, по окончании мойки должны закрываться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5.1.12. Уровень моющих растворов в загруженной моечной ванне должен быть на 10 см ниже ее краев.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в помещении мойки и горючими жидкостями;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бензин для протирки транспортных средств и мойки деталей, узлов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5.1.14. Запрессовку и выпрессовку деталей с тугой посадкой следует выполнять прессами, винтовыми и гидравлическими съемниками.</w:t>
      </w:r>
    </w:p>
    <w:p>
      <w:pPr>
        <w:spacing w:line="240" w:lineRule="auto"/>
        <w:rPr>
          <w:rFonts w:hAnsi="Times New Roman" w:cs="Times New Roman"/>
          <w:color w:val="000000"/>
          <w:sz w:val="24"/>
          <w:szCs w:val="24"/>
        </w:rPr>
      </w:pPr>
      <w:r>
        <w:rPr>
          <w:rFonts w:hAnsi="Times New Roman" w:cs="Times New Roman"/>
          <w:color w:val="000000"/>
          <w:sz w:val="24"/>
          <w:szCs w:val="24"/>
        </w:rPr>
        <w:t>Прессы должны быть укомплектованы набором оправок для различных выпрессовываемых или запрессовываемых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применение выколоток и молотков с оправками и наконечниками из мягкого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проверке уровня масла и жидкости в агрегатах запрещается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5.1.16. При замене или доливе масла и жидкости в агрегаты сливные и заливные пробки необходимо отворачивать и заворачивать только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5.1.17. Нагнетатели смазки с электроприводом должны иметь устройства, исключающие превышение установленного давления более чем на 10%. При проверке этого требования срабатывание предохранительного устройства должно происходить при повышении максимального давления не более 4%.</w:t>
      </w:r>
    </w:p>
    <w:p>
      <w:pPr>
        <w:spacing w:line="240" w:lineRule="auto"/>
        <w:rPr>
          <w:rFonts w:hAnsi="Times New Roman" w:cs="Times New Roman"/>
          <w:color w:val="000000"/>
          <w:sz w:val="24"/>
          <w:szCs w:val="24"/>
        </w:rPr>
      </w:pPr>
      <w:r>
        <w:rPr>
          <w:rFonts w:hAnsi="Times New Roman" w:cs="Times New Roman"/>
          <w:color w:val="000000"/>
          <w:sz w:val="24"/>
          <w:szCs w:val="24"/>
        </w:rPr>
        <w:t>5.1.18. Нагнетатели смазки с пневмоприводом должны быть рассчитаны на потребление воздуха с давлением не более 0,8 МПа.</w:t>
      </w:r>
    </w:p>
    <w:p>
      <w:pPr>
        <w:spacing w:line="240" w:lineRule="auto"/>
        <w:rPr>
          <w:rFonts w:hAnsi="Times New Roman" w:cs="Times New Roman"/>
          <w:color w:val="000000"/>
          <w:sz w:val="24"/>
          <w:szCs w:val="24"/>
        </w:rPr>
      </w:pPr>
      <w:r>
        <w:rPr>
          <w:rFonts w:hAnsi="Times New Roman" w:cs="Times New Roman"/>
          <w:color w:val="000000"/>
          <w:sz w:val="24"/>
          <w:szCs w:val="24"/>
        </w:rPr>
        <w:t>5.1.19. Перед заправкой системы охлаждения двигателя антифризом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в системе охлаждения (в соединительных шлангах, радиаторе, сальниках водяного насоса) течи и при обнаружении течи устранить ее;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промыть систему охлаждения чистой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5.1.20. Заправку системы охлаждения двигателя антифризом следует производить при помощи специально предназначенной для этой цели посуды (ведро с носиком, бачок, воронка). Заправочная посуда должна быть очищена и промыта и иметь надпись «Только для антифриза».</w:t>
      </w:r>
    </w:p>
    <w:p>
      <w:pPr>
        <w:spacing w:line="240" w:lineRule="auto"/>
        <w:rPr>
          <w:rFonts w:hAnsi="Times New Roman" w:cs="Times New Roman"/>
          <w:color w:val="000000"/>
          <w:sz w:val="24"/>
          <w:szCs w:val="24"/>
        </w:rPr>
      </w:pPr>
      <w:r>
        <w:rPr>
          <w:rFonts w:hAnsi="Times New Roman" w:cs="Times New Roman"/>
          <w:color w:val="000000"/>
          <w:sz w:val="24"/>
          <w:szCs w:val="24"/>
        </w:rPr>
        <w:t>5.1.21. При заправке антифризом необходимо принять меры, исключающие попадание в него нефтепродуктов (бензина, дизельного топлива, масла), так как они во время работы приводят к вспениванию антифриза.</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антифриз в несоответствующую тару;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(переливать) антифриз через шланг без использования специально предназначенного для этого эжекторного устройства;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антифриз вместе с людьми, животными, пищевыми продуктами;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тару из-под антифриза для перевозки и хранения пищевых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5.1.23. Хранение материалов должно быть организовано с учетом их совместимости. Взаимно реагирующие вещества надлежит хранить раздельно.</w:t>
      </w:r>
    </w:p>
    <w:p>
      <w:pPr>
        <w:spacing w:line="240" w:lineRule="auto"/>
        <w:rPr>
          <w:rFonts w:hAnsi="Times New Roman" w:cs="Times New Roman"/>
          <w:color w:val="000000"/>
          <w:sz w:val="24"/>
          <w:szCs w:val="24"/>
        </w:rPr>
      </w:pPr>
      <w:r>
        <w:rPr>
          <w:rFonts w:hAnsi="Times New Roman" w:cs="Times New Roman"/>
          <w:color w:val="000000"/>
          <w:sz w:val="24"/>
          <w:szCs w:val="24"/>
        </w:rPr>
        <w:t>5.1.24. Отработанное масло должно сливаться в металлические бочки или подземные цистерны и храниться в специальных огнестойких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использовать открытый огонь в помещениях, в которых хранятся или используются горючие и легковоспламеняющиеся материалы или жидкости (бензин, керосин, сжатый или сжиженный газ, краски, лаки, растворители, древесина, стружка, вата, пакля).</w:t>
      </w:r>
    </w:p>
    <w:p>
      <w:pPr>
        <w:spacing w:line="240" w:lineRule="auto"/>
        <w:rPr>
          <w:rFonts w:hAnsi="Times New Roman" w:cs="Times New Roman"/>
          <w:color w:val="000000"/>
          <w:sz w:val="24"/>
          <w:szCs w:val="24"/>
        </w:rPr>
      </w:pPr>
      <w:r>
        <w:rPr>
          <w:rFonts w:hAnsi="Times New Roman" w:cs="Times New Roman"/>
          <w:color w:val="000000"/>
          <w:sz w:val="24"/>
          <w:szCs w:val="24"/>
        </w:rPr>
        <w:t>5.1.26. Детали, узлы, агрегаты, запасные части должны размещаться в помещениях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5.1.27. Пустая тара из-под нефтепродуктов, красок и растворителей должна храниться в отдельных помещениях или на открытых площадках и иметь бирки (ярлыки) с точным названием содержавшегося в ней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работников.</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Обтирочный и промасленный материал удалить из рабочего помещения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6c20579a174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