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медсестры по физиотерапии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медсестры по физиотерапии детского противотуберкулезного санатория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медсестрой по физиотерапии детского противотуберкулезного санатория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инфракрасного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 больными туберкулезом;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санитарно-гигиеническую одежду так, чтобы не было развевающихся концов. Не разрешается закалывать одежду булавками, иголками,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необходимых для работы средств защиты,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рабочую зону для безопасной работы. Исключить возможность соприкосновения с системами центрального отопления, водоснабжения и т. д. для персонала и пациентов кабинета (оградить участки возможного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4.1.5. Металлические корпуса и штативы электро- и светолечебных аппаратов, включая и переносные, а также подогреватели, которые могут оказаться под напряжением вследствие нарушения изоляции, подлежат защитному заземлению независимо от места их установки и проведения процедуры.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исправности аппаратов, ограждений, блокировок, наличии заземляющих устройств. Все контрольно-измерительные приборы аппаратов проверить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приточно-вытяжной вентиляции. Удалить пыль с аппаратов сухой тряпкой, ртутно-кварцевые лампы протереть влажной тряпкой, смоченной спиртом-ректификатом.</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визуально состояние изоляции 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отпуском процедур необходимо объяснить больному правила поведения и меры безопасности при отпуске процедур.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недостатках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работе с аппаратами сверхвысокой и ультравысокой частот.</w:t>
      </w:r>
    </w:p>
    <w:p>
      <w:pPr>
        <w:spacing w:line="240" w:lineRule="auto"/>
        <w:rPr>
          <w:rFonts w:hAnsi="Times New Roman" w:cs="Times New Roman"/>
          <w:color w:val="000000"/>
          <w:sz w:val="24"/>
          <w:szCs w:val="24"/>
        </w:rPr>
      </w:pPr>
      <w:r>
        <w:rPr>
          <w:rFonts w:hAnsi="Times New Roman" w:cs="Times New Roman"/>
          <w:color w:val="000000"/>
          <w:sz w:val="24"/>
          <w:szCs w:val="24"/>
        </w:rPr>
        <w:t>5.1.1. Для уменьшения излучения в окружающее пространство высокое напряжение на генератор должно подаваться только после установки излучателя непосредственно на облучаемый участок тела, перед прекращением процедуры следует сразу выключить высокое напряжение. Размеры и форма излучателя должны соответствовать облучаемому участку тела.</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аппаратов сверхвысокой и ультравысокой частот (далее соответственно – СВЧ, УВЧ) с выходной мощностью более 100 Вт и с дистанционным методом облучения должна производиться в специально выделенных помещениях или в экранирующих кабинах, в которых размещаются аппараты и пациенты. Эксплуатация аппаратов с контактным расположением излучателей возможна в общем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пребывание медсестры по физиотерапии детского противотуберкулезного санатория в зоне прямого излучения аппаратов сантиметровых и дециметровых волн.</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терапию без настройки терапевтического кондуктора в резонанс с генератором;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пребывать в зоне прямого воздействия энергии дециметровых и сантиметровых волн при проведении физиотерапевтических процедур по дистанционной диагностике.</w:t>
      </w:r>
    </w:p>
    <w:p>
      <w:pPr>
        <w:spacing w:line="240" w:lineRule="auto"/>
        <w:rPr>
          <w:rFonts w:hAnsi="Times New Roman" w:cs="Times New Roman"/>
          <w:color w:val="000000"/>
          <w:sz w:val="24"/>
          <w:szCs w:val="24"/>
        </w:rPr>
      </w:pPr>
      <w:r>
        <w:rPr>
          <w:rFonts w:hAnsi="Times New Roman" w:cs="Times New Roman"/>
          <w:color w:val="000000"/>
          <w:sz w:val="24"/>
          <w:szCs w:val="24"/>
        </w:rPr>
        <w:t>5.1.5. Кипячение электродных прокладок, полостных электродов и инструментов следует проводить в дезинфекционных кипятильниках или баках только с закрытым подогревателем в вытяжном шкафу или под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Заполнять четырехкамерные ванны водой и удалять из них воду можно только при выключенной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электролечебных процедур с контактным наложением электродов (гальванизации, диадинамо- и амплипульстерапии и других подобных) вне электролечебного кабинета (в том числе в палате, перевязочной, операционной, на дому) необходимо исключить возможность соприкосновения пациента с металлическими частями (кровать, перевязочный стол). Для этого металлическая кровать или стол должны быть покрыты шерстяным одеялом, поверх него – тремя–четырьмя слоями прорезиненной ткани и простыней так, чтобы края их свешивались со всех сторон кровати или стола.</w:t>
      </w:r>
    </w:p>
    <w:p>
      <w:pPr>
        <w:spacing w:line="240" w:lineRule="auto"/>
        <w:rPr>
          <w:rFonts w:hAnsi="Times New Roman" w:cs="Times New Roman"/>
          <w:color w:val="000000"/>
          <w:sz w:val="24"/>
          <w:szCs w:val="24"/>
        </w:rPr>
      </w:pPr>
      <w:r>
        <w:rPr>
          <w:rFonts w:hAnsi="Times New Roman" w:cs="Times New Roman"/>
          <w:color w:val="000000"/>
          <w:sz w:val="24"/>
          <w:szCs w:val="24"/>
        </w:rPr>
        <w:t>5.1.8. Металлические корпуса и штативы медицинских электроаппаратов, в том числе переносные, подлежат защитному заземлению независимо от места их установки и проведения физиотерапевтической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работе с аппаратами инфракрасного и ультрафиолетового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неэкранированных ламп инфракрасных и ультрафиолетовых излучателей в присутствии людей;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подвергать глаза вредному воздействию инфракрасного излучения, то есть длительно смотреть на включенную лампу.</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ультрафиолетовых облучателей глаза пациентов и персонала, обслуживающего пациентов, необходимо защищать очками с боковой защитой. В промежутках между лечебными процедурами рефлекторы облучателей с лампами должны быть закрыты имеющимися на них заслонками, а при отсутствии таковых – плотными черными с белой прокладкой матерчатыми «юбками» длиной 50 см, надеваемыми на край рефлектора облучателя. Включенная, но неэксплуатируемая лампа должна быть спущена до уровня кушетки.</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предохранения слизистых оболочек глаз от ожогов входить в помещение с включенными бактерицидными ультрафиолетовыми облучателями или смотреть на них без защитных очков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Обеззараживаемые помещения должны быть оснащены информационными табло или табличками с надписью "Не входить. Идет облучение ультрафиолетом", которые должны располагаться вне помещения над входной дверью.</w:t>
      </w:r>
    </w:p>
    <w:p>
      <w:pPr>
        <w:spacing w:line="240" w:lineRule="auto"/>
        <w:rPr>
          <w:rFonts w:hAnsi="Times New Roman" w:cs="Times New Roman"/>
          <w:color w:val="000000"/>
          <w:sz w:val="24"/>
          <w:szCs w:val="24"/>
        </w:rPr>
      </w:pPr>
      <w:r>
        <w:rPr>
          <w:rFonts w:hAnsi="Times New Roman" w:cs="Times New Roman"/>
          <w:color w:val="000000"/>
          <w:sz w:val="24"/>
          <w:szCs w:val="24"/>
        </w:rPr>
        <w:t>5.1.13. При недостаточной вентиляции в помещении может ощущаться характерный запах озона. В этих случаях следует выключать лампы и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5.1.14. Входить в помещение после выключения бактерицидных облучателей (кроме закрытого типа) можно после его проветривания в течение 10–15 минут.</w:t>
      </w:r>
    </w:p>
    <w:p>
      <w:pPr>
        <w:spacing w:line="240" w:lineRule="auto"/>
        <w:rPr>
          <w:rFonts w:hAnsi="Times New Roman" w:cs="Times New Roman"/>
          <w:color w:val="000000"/>
          <w:sz w:val="24"/>
          <w:szCs w:val="24"/>
        </w:rPr>
      </w:pPr>
      <w:r>
        <w:rPr>
          <w:rFonts w:hAnsi="Times New Roman" w:cs="Times New Roman"/>
          <w:color w:val="000000"/>
          <w:sz w:val="24"/>
          <w:szCs w:val="24"/>
        </w:rPr>
        <w:t>5.1.15. Вышедшие из строя лампы следует хранить упакованными в специальном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работе с ультразвуковыми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источниками контактного ультразвука в течение более 50 процентов рабочего времени необходимо установить регламентированные перерывы, в которые можно заниматься работой, не связанной с ультразвуком. Длительность и периодичность перерывов устанавливаются локальными нормативными актами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5.1.17. Непосредственный контакт рук медсестры со средой, в которой возбуждены ультразвуковые колебания, необходимо исключить при помощи следующих мер: при проведении ультразвуковых процедур медсестра обязана работать в перчатках из хлопчатобумажной ткани, при проведении подводных ультразвуковых процедур следует поверх хлопчатобумажных перчаток надеть резиновые.</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при включенном аппарате касаться рабочей части ультразвукового излучателя.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работе с медицинскими лазерными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5.2.1. Руководителем организации должно быть назначено ответственное лицо, обеспечивающее исправное состояние и безопасную эксплуатацию лазера.</w:t>
      </w:r>
    </w:p>
    <w:p>
      <w:pPr>
        <w:spacing w:line="240" w:lineRule="auto"/>
        <w:rPr>
          <w:rFonts w:hAnsi="Times New Roman" w:cs="Times New Roman"/>
          <w:color w:val="000000"/>
          <w:sz w:val="24"/>
          <w:szCs w:val="24"/>
        </w:rPr>
      </w:pPr>
      <w:r>
        <w:rPr>
          <w:rFonts w:hAnsi="Times New Roman" w:cs="Times New Roman"/>
          <w:color w:val="000000"/>
          <w:sz w:val="24"/>
          <w:szCs w:val="24"/>
        </w:rPr>
        <w:t>5.2.2. К самостоятельной работе на лазерных установках допускаются лица, прошедшие обучение по работе с лазерными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с лазерными физиотерапевтическими установками запрещается смотреть навстречу первичному или зеркально-отраженному лучу. При визуальной наводке лазерного луча на мишень не следует смотреть вдоль луча, так как при этом увеличивается опасность поражения отраженным светом.</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лазеров 2–4-го классов необходимо применять защитные очки со светофильтрами, сменяемыми в зависимости от длины волны лазерного излучения. Количество очков должно соответствовать количеству работников в наибольшую смену с таким же резервом очков.</w:t>
      </w:r>
    </w:p>
    <w:p>
      <w:pPr>
        <w:spacing w:line="240" w:lineRule="auto"/>
        <w:rPr>
          <w:rFonts w:hAnsi="Times New Roman" w:cs="Times New Roman"/>
          <w:color w:val="000000"/>
          <w:sz w:val="24"/>
          <w:szCs w:val="24"/>
        </w:rPr>
      </w:pPr>
      <w:r>
        <w:rPr>
          <w:rFonts w:hAnsi="Times New Roman" w:cs="Times New Roman"/>
          <w:color w:val="000000"/>
          <w:sz w:val="24"/>
          <w:szCs w:val="24"/>
        </w:rPr>
        <w:t>5.2.5. Вблизи трассы прохождения лазерного луча не должно быть предметов с зеркальными поверхностями (за исключением необходимых по условиям применения лазеров).</w:t>
      </w:r>
    </w:p>
    <w:p>
      <w:pPr>
        <w:spacing w:line="240" w:lineRule="auto"/>
        <w:rPr>
          <w:rFonts w:hAnsi="Times New Roman" w:cs="Times New Roman"/>
          <w:color w:val="000000"/>
          <w:sz w:val="24"/>
          <w:szCs w:val="24"/>
        </w:rPr>
      </w:pPr>
      <w:r>
        <w:rPr>
          <w:rFonts w:hAnsi="Times New Roman" w:cs="Times New Roman"/>
          <w:color w:val="000000"/>
          <w:sz w:val="24"/>
          <w:szCs w:val="24"/>
        </w:rPr>
        <w:t>5.2.6. Медицинский инструментарий должен иметь матовую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5.2.7. Зеркальные поверхности оборудования должны быть покрыты неотражающими материалами. Стены помещения не должны давать зеркального отражения. Необходимо исключить возможность неконтролируемых перемещений лазерного луча, а также возможность случайного попадания прямого или зеркально-отраженного луча на персонал или на пациентов вне операционного поля.</w:t>
      </w:r>
    </w:p>
    <w:p>
      <w:pPr>
        <w:spacing w:line="240" w:lineRule="auto"/>
        <w:rPr>
          <w:rFonts w:hAnsi="Times New Roman" w:cs="Times New Roman"/>
          <w:color w:val="000000"/>
          <w:sz w:val="24"/>
          <w:szCs w:val="24"/>
        </w:rPr>
      </w:pPr>
      <w:r>
        <w:rPr>
          <w:rFonts w:hAnsi="Times New Roman" w:cs="Times New Roman"/>
          <w:color w:val="000000"/>
          <w:sz w:val="24"/>
          <w:szCs w:val="24"/>
        </w:rPr>
        <w:t>5.2.8. В помещения, где используются лазерные установки, персоналу и пациентам запрещается приносить и размещать бытовые зеркала, ювелирные украшения и иные предметы, способные давать зеркальные отражения.</w:t>
      </w:r>
    </w:p>
    <w:p>
      <w:pPr>
        <w:spacing w:line="240" w:lineRule="auto"/>
        <w:rPr>
          <w:rFonts w:hAnsi="Times New Roman" w:cs="Times New Roman"/>
          <w:color w:val="000000"/>
          <w:sz w:val="24"/>
          <w:szCs w:val="24"/>
        </w:rPr>
      </w:pPr>
      <w:r>
        <w:rPr>
          <w:rFonts w:hAnsi="Times New Roman" w:cs="Times New Roman"/>
          <w:color w:val="000000"/>
          <w:sz w:val="24"/>
          <w:szCs w:val="24"/>
        </w:rPr>
        <w:t>5.2.9. С внешней стороны помещений, где установлены лазерные установки, должен быть предупредительный знак лазерной опасности "Осторожно. Лазерное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проведении теплолечения и криолечения</w:t>
      </w:r>
    </w:p>
    <w:p>
      <w:pPr>
        <w:spacing w:line="240" w:lineRule="auto"/>
        <w:rPr>
          <w:rFonts w:hAnsi="Times New Roman" w:cs="Times New Roman"/>
          <w:color w:val="000000"/>
          <w:sz w:val="24"/>
          <w:szCs w:val="24"/>
        </w:rPr>
      </w:pPr>
      <w:r>
        <w:rPr>
          <w:rFonts w:hAnsi="Times New Roman" w:cs="Times New Roman"/>
          <w:color w:val="000000"/>
          <w:sz w:val="24"/>
          <w:szCs w:val="24"/>
        </w:rPr>
        <w:t>5.2.10. При проведении теплолечения парафин или озокерит следует подогревать в отдельной комнате с покрытием пола из негорючего материала на водяной бане в вытяжном шкафу или под колпаком с вытяжкой.</w:t>
      </w:r>
    </w:p>
    <w:p>
      <w:pPr>
        <w:spacing w:line="240" w:lineRule="auto"/>
        <w:rPr>
          <w:rFonts w:hAnsi="Times New Roman" w:cs="Times New Roman"/>
          <w:color w:val="000000"/>
          <w:sz w:val="24"/>
          <w:szCs w:val="24"/>
        </w:rPr>
      </w:pPr>
      <w:r>
        <w:rPr>
          <w:rFonts w:hAnsi="Times New Roman" w:cs="Times New Roman"/>
          <w:color w:val="000000"/>
          <w:sz w:val="24"/>
          <w:szCs w:val="24"/>
        </w:rPr>
        <w:t>5.2.11. В помещении для подогрева парафина и озокерита должен находиться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5.2.12. Емкость для подогрева, содержащую парафин или озокерит, следует открывать для измерения температуры и при взятии ее содержимого для проведения процедур.</w:t>
      </w:r>
    </w:p>
    <w:p>
      <w:pPr>
        <w:spacing w:line="240" w:lineRule="auto"/>
        <w:rPr>
          <w:rFonts w:hAnsi="Times New Roman" w:cs="Times New Roman"/>
          <w:color w:val="000000"/>
          <w:sz w:val="24"/>
          <w:szCs w:val="24"/>
        </w:rPr>
      </w:pPr>
      <w:r>
        <w:rPr>
          <w:rFonts w:hAnsi="Times New Roman" w:cs="Times New Roman"/>
          <w:color w:val="000000"/>
          <w:sz w:val="24"/>
          <w:szCs w:val="24"/>
        </w:rPr>
        <w:t>5.2.13. При манипуляциях с парафином и озокеритом необходимо применять СИЗ от повышенных температур (одежда специальная защитная, средства индивидуальной защиты рук и глаз/лица).</w:t>
      </w:r>
    </w:p>
    <w:p>
      <w:pPr>
        <w:spacing w:line="240" w:lineRule="auto"/>
        <w:rPr>
          <w:rFonts w:hAnsi="Times New Roman" w:cs="Times New Roman"/>
          <w:color w:val="000000"/>
          <w:sz w:val="24"/>
          <w:szCs w:val="24"/>
        </w:rPr>
      </w:pPr>
      <w:r>
        <w:rPr>
          <w:rFonts w:hAnsi="Times New Roman" w:cs="Times New Roman"/>
          <w:color w:val="000000"/>
          <w:sz w:val="24"/>
          <w:szCs w:val="24"/>
        </w:rPr>
        <w:t>5.2.14. При проведении криолечения с использованием жидкого азота в качестве хладоагента необходимо избегать попадания жидкого азота на открытые участки тела и соприкосновения с металлическими деталями, охлажденными жидким азотом.</w:t>
      </w:r>
    </w:p>
    <w:p>
      <w:pPr>
        <w:spacing w:line="240" w:lineRule="auto"/>
        <w:rPr>
          <w:rFonts w:hAnsi="Times New Roman" w:cs="Times New Roman"/>
          <w:color w:val="000000"/>
          <w:sz w:val="24"/>
          <w:szCs w:val="24"/>
        </w:rPr>
      </w:pPr>
      <w:r>
        <w:rPr>
          <w:rFonts w:hAnsi="Times New Roman" w:cs="Times New Roman"/>
          <w:color w:val="000000"/>
          <w:sz w:val="24"/>
          <w:szCs w:val="24"/>
        </w:rPr>
        <w:t>5.2.15. При манипуляциях с жидким азотом необходимо применять средства индивидуальной защиты от сверхнизких температур (одежда специальная защитная, средства индивидуальной защиты рук и глаз).</w:t>
      </w:r>
    </w:p>
    <w:p>
      <w:pPr>
        <w:spacing w:line="240" w:lineRule="auto"/>
        <w:rPr>
          <w:rFonts w:hAnsi="Times New Roman" w:cs="Times New Roman"/>
          <w:color w:val="000000"/>
          <w:sz w:val="24"/>
          <w:szCs w:val="24"/>
        </w:rPr>
      </w:pPr>
      <w:r>
        <w:rPr>
          <w:rFonts w:hAnsi="Times New Roman" w:cs="Times New Roman"/>
          <w:color w:val="000000"/>
          <w:sz w:val="24"/>
          <w:szCs w:val="24"/>
        </w:rPr>
        <w:t>5.2.16. Эксплуатация криогенных сосудов (сосудов Дьюара) должна проводиться в соответствии с эксплуатационными документами. Горловину сосуда следует закрывать штатной крышкой (вставкой), имеющей каналы для сброса паров азота из сосуда. Следует не допускать разбрызгивания жидкого азота, ронять или опрокидывать криогенные сосуды, использовать сосуды с внешними повреждениями или подозрениями на повреждения.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обстановки отключить оборудование и приборы, оповестить об опасности окружающих людей, доложить непосредственному руководителю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или возгорании немедленно сообщить в пожарную охрану по телефону 01, приступить к тушению пожара имеющимися первичными средствами пожаротушения, сообщить о пожаре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Пострадавшим при травмировании, отравлении, внезапном остром заболевании оказать первую помощь, при необходимости вызвать скорую медицинскую помощь по телефону 03.</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Аппараты отключить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Провести влажную уборку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a5b2566457341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