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менеджера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менеджера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менеджера;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менеджера;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менеджера.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менеджера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менеджером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Менеджер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Менеджер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Менеджер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менеджера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статическое электричество;</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яркость светового изображения;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Менеджер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4.4.5. Персональные компьютеры следует размещать таким образом, чтобы показатели освещенности не превышали установленных гигиенических нормативов, утвержденных в соответствии с пунктом 2 статьи 38 Федерального закона от 30.03.1999 № 52-ФЗ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w:t>
      </w:r>
      <w:r>
        <w:br/>
      </w:r>
      <w:r>
        <w:rPr>
          <w:rFonts w:hAnsi="Times New Roman" w:cs="Times New Roman"/>
          <w:color w:val="000000"/>
          <w:sz w:val="24"/>
          <w:szCs w:val="24"/>
        </w:rPr>
        <w:t>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Менеджер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менеджера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менеджера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менеджером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применяемое оборудование и электроприборы, местное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инструмент, приспособления, инвентарь в отведенные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отходы собрать в специальный ящик и вынести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Вынести порожнюю тару, упаковку и использованную ветошь на места временного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7.3.4.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a6b333a1fc247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