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мерчендайзера стационарного</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мерчендайзера стационарного.</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мерчендайзером стационарным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товаров и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прилавка, стеллажа, прочность крепления оборудования к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прилавке, подставке;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товаров, инвентарь, приспособления, упаковочные и обвязочные материалы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 (зоны);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слепящего действия света;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на пути перемещения;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прилавков;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оснащенность рабочего места исправными банкетками, скамейками, подставками, зеркалами;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прочность крепления крюков раздвижных лестниц, не позволяющих произвольное их движение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применяемого оборудования, торгового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приборы, пульты,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торговых и подсобных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свое рабочее место в чистоте, не загромождать его тарой, товаром и инвентарем. Порожняя тара должна немедленно убираться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проходы между прилавками, стеллажами, штабелями товаров к пультам управления, рубильникам, пути эвакуации и другие проходы порожней тарой, инвентарем, излишними запасами товаров и т. п.</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5.1.8. Вскрытие верха ящиков производить от торцевой стороны соответствующим инструментом (гвоздодером, клещами). Торчащие гвозди удалять, металлическую обивку загибать внутрь ящика.</w:t>
      </w:r>
    </w:p>
    <w:p>
      <w:pPr>
        <w:spacing w:line="240" w:lineRule="auto"/>
        <w:rPr>
          <w:rFonts w:hAnsi="Times New Roman" w:cs="Times New Roman"/>
          <w:color w:val="000000"/>
          <w:sz w:val="24"/>
          <w:szCs w:val="24"/>
        </w:rPr>
      </w:pPr>
      <w:r>
        <w:rPr>
          <w:rFonts w:hAnsi="Times New Roman" w:cs="Times New Roman"/>
          <w:color w:val="000000"/>
          <w:sz w:val="24"/>
          <w:szCs w:val="24"/>
        </w:rPr>
        <w:t>5.1.9.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5.1.10. Переносить товары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Укладывая товары на верхние полки горок и стеллажей, пользоваться только исправными, устойчивыми лестницами, испытанными в установленном порядке. Не использовать вместо лестниц-стремянок ящики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5.1.13. При укладке товаров на стеллажи и полки размещать более тяжелые товары на нижних полках, а более легкие – на верхних, не загружать стеллажи свыше предельной нагрузки, на которую они рассчитаны.</w:t>
      </w:r>
    </w:p>
    <w:p>
      <w:pPr>
        <w:spacing w:line="240" w:lineRule="auto"/>
        <w:rPr>
          <w:rFonts w:hAnsi="Times New Roman" w:cs="Times New Roman"/>
          <w:color w:val="000000"/>
          <w:sz w:val="24"/>
          <w:szCs w:val="24"/>
        </w:rPr>
      </w:pPr>
      <w:r>
        <w:rPr>
          <w:rFonts w:hAnsi="Times New Roman" w:cs="Times New Roman"/>
          <w:color w:val="000000"/>
          <w:sz w:val="24"/>
          <w:szCs w:val="24"/>
        </w:rPr>
        <w:t>5.1.14. При распаковке товаров в жесткой таре, продаже острых, колющих или находящихся в смазке товаров надевать рукавицы и использовать специальные приспособления. При обвязке упаковочных коробок, пакетов использовать шпагат, толщина которого исключает порезы рук.</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демонстрации технически сложных товаров соблюдать требования безопасности, изложенные в эксплуатационной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демонстрации электротоваров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их включение со снятыми заградительными и предохранительными устройствами, с открытыми дверками, крышками, кожухами;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поправлять ремни, цепи привода, снимать и устанавливать ограждения;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(передвигать) включенные в электрическую сеть бытовые электроприборы и другое нестационарное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надзора включенные электробытовые приборы, ручные электрические машины, допускать к их демонстрации необученных и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применяемое оборудование и электроприборы, местное освещение,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04505f9c0334f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