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модельщика-формовщика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модельщика-формовщика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модельщика-формовщика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модельщика-формовщика;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модельщика-формовщика;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модельщиком-формовщиком.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модельщиков-формовщиков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модельщика-формовщика.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Модельщику-формовщику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модельщиком-формовщиком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Модельщик-формовщик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Модельщику-формовщику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Модельщик-формовщик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3.9. Требования по выполнению режимов труда и отдыха модельщика-формовщика.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Модельщик-формовщик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труда на модельщика-формовщика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работы при несправной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Подача фарфоровой массы к глиномяльной машине, на склад для выдержки и со склада в формовочный цех должна производиться с помощью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Подача формовочной массы к местам формовки изделий и транспортировка отходов массы от формовочных полуавтоматов должны осуществляться с помощью транспортеров. Ширина ленты транспортера должна исключать возможность падения формовочной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Обратная сторона ленты транспортера должна иметь приспособления (щетки, скребки) для снятия налипающего на ленту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Сушила должны работать под разрежением, чтобы предотвращать поступление конвекционных потоков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Оправка и зачистка изделий должны осуществляться влажным способом на конвейере.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Подрезка ручек, смазка их массой и приставка к корпусам изделий должны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Очистку оборудования производить очистительным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Ручной инструмент и приспособления убрать в установленное (отведенное)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19c26abdf340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