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монтажника опалубочных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монтажника опалубочных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монтажником опалубочных систем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состояния сооружения, объекта, опалубки и поддерживающих креплений;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углов, торчащие штыри;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выбросы пыли 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шума, в том числе возможность не услышать звуковой сигнал об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или повышенная яркость света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земляного покрытия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(целостность):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расходных материалов (крепежа и пр.);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и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грузоподъемных механизмов, средств механизации, электрифицированного и пневматического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такелажных средств, тросов, канатов, цепей, специальных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для работы на высоте (подмостей, лесов, лестниц и пр.);</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монтажнику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пневмооборудованием, грузоподъемными механизмами, приборами,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возведении монолитных и монолитно-кирпичных зданий и сооружений дополнительно необходимо применять следующие способы производства работ, обеспечивающие безопасность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заливку бетона в опалубках с применением автобетононасосов и бетонно-раздаточных стрел; заливку бетона с применением бадьи осуществлять в крайне ограниченном объеме;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заливку в опалубки и уплотнение бетона вибраторами, находясь на инвентарных навесных площадках с защитными ограждениями высотой не менее 1,1 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монтаж и демонтаж опалубок, заливку и уплотнение бетона работниками, имеющими опыт самостоятельного выполнения работ на высоте не менее одного года.</w:t>
      </w:r>
    </w:p>
    <w:p>
      <w:pPr>
        <w:spacing w:line="240" w:lineRule="auto"/>
        <w:rPr>
          <w:rFonts w:hAnsi="Times New Roman" w:cs="Times New Roman"/>
          <w:color w:val="000000"/>
          <w:sz w:val="24"/>
          <w:szCs w:val="24"/>
        </w:rPr>
      </w:pPr>
      <w:r>
        <w:rPr>
          <w:rFonts w:hAnsi="Times New Roman" w:cs="Times New Roman"/>
          <w:color w:val="000000"/>
          <w:sz w:val="24"/>
          <w:szCs w:val="24"/>
        </w:rPr>
        <w:t>Приемка и уплотнение бетона работниками, находящимися на опалубках в положении «стоя»,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возведении монолитных и монолитно-кирпичных зданий и сооружений демонтаж опалубок должен выполняться по наряду-допуску. Демонтаж опалубок должен производиться не менее чем двумя работниками под наблюдением бригадира или инженерно-технического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5.1.9. Металлические опалубки, применяемые для возведения монолитного здания или сооружения, должны быть оборудованы специальными постоянно установленными на щитах или съемными приспособлениями в виде вертикальных или горизонтальных скоб для обеспечения безопасности перемещения рабочих по этим опалубкам и возможности закрепления применяемых систем обеспечения безопасности работ на высоте. Схемы расположения скоб на щитах опалубок должны быть указаны в организационно-технологической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5.1.10. Цемент необходимо хранить в силосах, бункерах, ларях и других закрытых емкостях с применением мер против распыления в процессе загрузки и выгрузки. Загрузочные отверстия должны быть закрыты защитными решетками, а люки в защитных решетках – закрыты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Очистка бункеров-накопителей должна производиться под надзором работника, ответственного за обеспечение безопасного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разбивать негабаритные куски материалов на решетках бункеров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5.1.11. При использовании пара для прогрева инертных материалов, находящихся в бункерах или других емкостях, следует применять меры, предотвращающие проникновение пара в рабочие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Спуск работников в камеры, обогреваемые паром, допускается после отключения подачи пара, а также охлаждения камеры и находящихся в ней материалов и изделий до температуры менее 40 °С.</w:t>
      </w:r>
    </w:p>
    <w:p>
      <w:pPr>
        <w:spacing w:line="240" w:lineRule="auto"/>
        <w:rPr>
          <w:rFonts w:hAnsi="Times New Roman" w:cs="Times New Roman"/>
          <w:color w:val="000000"/>
          <w:sz w:val="24"/>
          <w:szCs w:val="24"/>
        </w:rPr>
      </w:pPr>
      <w:r>
        <w:rPr>
          <w:rFonts w:hAnsi="Times New Roman" w:cs="Times New Roman"/>
          <w:color w:val="000000"/>
          <w:sz w:val="24"/>
          <w:szCs w:val="24"/>
        </w:rPr>
        <w:t>5.1.12. Размещение на опалубке оборудования и материалов, не предусмотренных организационно-технологической документацией, а также нахождение работников, непосредственно не участвующих в производстве работ на установленных конструкциях опалубки,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5.1.13. Для перехода работников с одного рабочего места на другое необходимо применять лестницы, переходные мостики и трапы.</w:t>
      </w:r>
    </w:p>
    <w:p>
      <w:pPr>
        <w:spacing w:line="240" w:lineRule="auto"/>
        <w:rPr>
          <w:rFonts w:hAnsi="Times New Roman" w:cs="Times New Roman"/>
          <w:color w:val="000000"/>
          <w:sz w:val="24"/>
          <w:szCs w:val="24"/>
        </w:rPr>
      </w:pPr>
      <w:r>
        <w:rPr>
          <w:rFonts w:hAnsi="Times New Roman" w:cs="Times New Roman"/>
          <w:color w:val="000000"/>
          <w:sz w:val="24"/>
          <w:szCs w:val="24"/>
        </w:rPr>
        <w:t>5.1.14. После отсечения части скользящей опалубки и подвесных лесов торцевые стороны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5.1.15. Для защиты работников от падения предметов на подвесных лесах по наружному периметру скользящей и переставной опалубки следует устанавливать «козырьки» шириной не менее ширины лесов.</w:t>
      </w:r>
    </w:p>
    <w:p>
      <w:pPr>
        <w:spacing w:line="240" w:lineRule="auto"/>
        <w:rPr>
          <w:rFonts w:hAnsi="Times New Roman" w:cs="Times New Roman"/>
          <w:color w:val="000000"/>
          <w:sz w:val="24"/>
          <w:szCs w:val="24"/>
        </w:rPr>
      </w:pPr>
      <w:r>
        <w:rPr>
          <w:rFonts w:hAnsi="Times New Roman" w:cs="Times New Roman"/>
          <w:color w:val="000000"/>
          <w:sz w:val="24"/>
          <w:szCs w:val="24"/>
        </w:rPr>
        <w:t>5.1.16. Ходить по уложенной арматуре допускается только по специальным настилам шириной не менее 0,6 м, уложенным на арматурный каркас.</w:t>
      </w:r>
    </w:p>
    <w:p>
      <w:pPr>
        <w:spacing w:line="240" w:lineRule="auto"/>
        <w:rPr>
          <w:rFonts w:hAnsi="Times New Roman" w:cs="Times New Roman"/>
          <w:color w:val="000000"/>
          <w:sz w:val="24"/>
          <w:szCs w:val="24"/>
        </w:rPr>
      </w:pPr>
      <w:r>
        <w:rPr>
          <w:rFonts w:hAnsi="Times New Roman" w:cs="Times New Roman"/>
          <w:color w:val="000000"/>
          <w:sz w:val="24"/>
          <w:szCs w:val="24"/>
        </w:rPr>
        <w:t>5.1.17. На участках натяжения арматуры в местах прохода людей должны быть установлены защитные ограждения высотой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для натяжения арматуры должны быть оборудованы сигнализацией, приводимой в действие при включении привода натяжного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пребывание работников на расстоянии ближе 1 м от арматурных стержней, нагреваемых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5.1.18. При применении бетонных смесей с химическими добавками следует использовать защитные перчатки и очки.</w:t>
      </w:r>
    </w:p>
    <w:p>
      <w:pPr>
        <w:spacing w:line="240" w:lineRule="auto"/>
        <w:rPr>
          <w:rFonts w:hAnsi="Times New Roman" w:cs="Times New Roman"/>
          <w:color w:val="000000"/>
          <w:sz w:val="24"/>
          <w:szCs w:val="24"/>
        </w:rPr>
      </w:pPr>
      <w:r>
        <w:rPr>
          <w:rFonts w:hAnsi="Times New Roman" w:cs="Times New Roman"/>
          <w:color w:val="000000"/>
          <w:sz w:val="24"/>
          <w:szCs w:val="24"/>
        </w:rPr>
        <w:t>5.1.19. Работники, укладывающие бетонную смесь на поверхности, имеющей уклон более 20°, должны пользоваться соответствующими системами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5.1.20. Эстакада для подачи бетонной смеси автосамосвалами должна быть оборудована отбойными брусьями. Между отбойными брусьями и ограждениями должны быть предусмотрены проходы шириной не менее 0,6 м. На тупиковых эстакадах должны быть установлены поперечные отбойные брусья.</w:t>
      </w:r>
    </w:p>
    <w:p>
      <w:pPr>
        <w:spacing w:line="240" w:lineRule="auto"/>
        <w:rPr>
          <w:rFonts w:hAnsi="Times New Roman" w:cs="Times New Roman"/>
          <w:color w:val="000000"/>
          <w:sz w:val="24"/>
          <w:szCs w:val="24"/>
        </w:rPr>
      </w:pPr>
      <w:r>
        <w:rPr>
          <w:rFonts w:hAnsi="Times New Roman" w:cs="Times New Roman"/>
          <w:color w:val="000000"/>
          <w:sz w:val="24"/>
          <w:szCs w:val="24"/>
        </w:rPr>
        <w:t>При очистке кузова автосамосвала от остатков бетонной смеси работникам запрещается находиться в его кузове.</w:t>
      </w:r>
    </w:p>
    <w:p>
      <w:pPr>
        <w:spacing w:line="240" w:lineRule="auto"/>
        <w:rPr>
          <w:rFonts w:hAnsi="Times New Roman" w:cs="Times New Roman"/>
          <w:color w:val="000000"/>
          <w:sz w:val="24"/>
          <w:szCs w:val="24"/>
        </w:rPr>
      </w:pPr>
      <w:r>
        <w:rPr>
          <w:rFonts w:hAnsi="Times New Roman" w:cs="Times New Roman"/>
          <w:color w:val="000000"/>
          <w:sz w:val="24"/>
          <w:szCs w:val="24"/>
        </w:rPr>
        <w:t>5.1.21. Заготовка и укрупнительная сборка арматуры должны выполняться в специально предназначенных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5.1.22. Зона электропрогрева бетона должна иметь защитное ограждение, световую сигнализацию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5.1.23. Работа смесительных машин должна осуществляться при соблюдении следующих требований: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очистка приямков для загрузочных ковшей должна осуществляться после надежного закрепления ковша в поднятом положении;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очистка барабанов и корыт смесительных машин допускается только после остановки машины и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по заготовке арматуры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защитные ограждения рабочих мест, предназначенные для разматывания бухт (мотков) и выправления арматуры;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резке станками стержней арматуры на отрезки длиной менее 0,3 м применять приспособления, предупреждающие их разлет;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защитные ограждения рабочих мест при обработке стержней арматуры, выступающей за габариты верстака, а у двусторонних верстаков, кроме того, разделять верстак посередине продольной металлической предохранительной сеткой высотой не менее 1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заготовленную арматуру в специально отведенные для этого места;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закрывать щитами торцевые части стержней арматуры в местах общих проходов, имеющих ширину менее 1 м.</w:t>
      </w:r>
    </w:p>
    <w:p>
      <w:pPr>
        <w:spacing w:line="240" w:lineRule="auto"/>
        <w:rPr>
          <w:rFonts w:hAnsi="Times New Roman" w:cs="Times New Roman"/>
          <w:color w:val="000000"/>
          <w:sz w:val="24"/>
          <w:szCs w:val="24"/>
        </w:rPr>
      </w:pPr>
      <w:r>
        <w:rPr>
          <w:rFonts w:hAnsi="Times New Roman" w:cs="Times New Roman"/>
          <w:color w:val="000000"/>
          <w:sz w:val="24"/>
          <w:szCs w:val="24"/>
        </w:rPr>
        <w:t>5.1.25. Элементы каркасов арматуры необходимо пакетировать с учетом условий их подъема, складирования и транспортировки к месту монтажа.</w:t>
      </w:r>
    </w:p>
    <w:p>
      <w:pPr>
        <w:spacing w:line="240" w:lineRule="auto"/>
        <w:rPr>
          <w:rFonts w:hAnsi="Times New Roman" w:cs="Times New Roman"/>
          <w:color w:val="000000"/>
          <w:sz w:val="24"/>
          <w:szCs w:val="24"/>
        </w:rPr>
      </w:pPr>
      <w:r>
        <w:rPr>
          <w:rFonts w:hAnsi="Times New Roman" w:cs="Times New Roman"/>
          <w:color w:val="000000"/>
          <w:sz w:val="24"/>
          <w:szCs w:val="24"/>
        </w:rPr>
        <w:t>5.1.26. Перемещение загруженного или порожнего бункера (бадьи) разрешается только при закрытом затворе.</w:t>
      </w:r>
    </w:p>
    <w:p>
      <w:pPr>
        <w:spacing w:line="240" w:lineRule="auto"/>
        <w:rPr>
          <w:rFonts w:hAnsi="Times New Roman" w:cs="Times New Roman"/>
          <w:color w:val="000000"/>
          <w:sz w:val="24"/>
          <w:szCs w:val="24"/>
        </w:rPr>
      </w:pPr>
      <w:r>
        <w:rPr>
          <w:rFonts w:hAnsi="Times New Roman" w:cs="Times New Roman"/>
          <w:color w:val="000000"/>
          <w:sz w:val="24"/>
          <w:szCs w:val="24"/>
        </w:rPr>
        <w:t>5.1.27. Перед началом укладки бетонной смеси виброхоботом необходимо проверять исправность и надежность закрепления его звеньев между собой и к страховочному канату.</w:t>
      </w:r>
    </w:p>
    <w:p>
      <w:pPr>
        <w:spacing w:line="240" w:lineRule="auto"/>
        <w:rPr>
          <w:rFonts w:hAnsi="Times New Roman" w:cs="Times New Roman"/>
          <w:color w:val="000000"/>
          <w:sz w:val="24"/>
          <w:szCs w:val="24"/>
        </w:rPr>
      </w:pPr>
      <w:r>
        <w:rPr>
          <w:rFonts w:hAnsi="Times New Roman" w:cs="Times New Roman"/>
          <w:color w:val="000000"/>
          <w:sz w:val="24"/>
          <w:szCs w:val="24"/>
        </w:rPr>
        <w:t>5.1.28. При подаче бетона с помощью бетононасоса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работников от бетоновода на время продувки на расстояние не менее 10 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укладывать бетоноводы на прокладки для снижения воздействия динамической нагрузки на арматурный каркас и опалубку при подаче бетона.</w:t>
      </w:r>
    </w:p>
    <w:p>
      <w:pPr>
        <w:spacing w:line="240" w:lineRule="auto"/>
        <w:rPr>
          <w:rFonts w:hAnsi="Times New Roman" w:cs="Times New Roman"/>
          <w:color w:val="000000"/>
          <w:sz w:val="24"/>
          <w:szCs w:val="24"/>
        </w:rPr>
      </w:pPr>
      <w:r>
        <w:rPr>
          <w:rFonts w:hAnsi="Times New Roman" w:cs="Times New Roman"/>
          <w:color w:val="000000"/>
          <w:sz w:val="24"/>
          <w:szCs w:val="24"/>
        </w:rPr>
        <w:t>5.1.29. Удаление пробки в бетоноводе сжатым воздухом допускается при условии: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наличия защитного щита у выходного отверстия бетоновода;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нахождения работников на расстоянии не менее 10 м от выходного отверстия бетоновода;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осуществления подачи воздуха в бетоновод равномерно, не превышая допустимого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удаления пробки в бетоноводе следует снять в нем давление, простукиванием найти местонахождение пробки, расстыковать бетоновод и удалить пробку или заменить засоренное звено.</w:t>
      </w:r>
    </w:p>
    <w:p>
      <w:pPr>
        <w:spacing w:line="240" w:lineRule="auto"/>
        <w:rPr>
          <w:rFonts w:hAnsi="Times New Roman" w:cs="Times New Roman"/>
          <w:color w:val="000000"/>
          <w:sz w:val="24"/>
          <w:szCs w:val="24"/>
        </w:rPr>
      </w:pPr>
      <w:r>
        <w:rPr>
          <w:rFonts w:hAnsi="Times New Roman" w:cs="Times New Roman"/>
          <w:color w:val="000000"/>
          <w:sz w:val="24"/>
          <w:szCs w:val="24"/>
        </w:rPr>
        <w:t>5.1.30. При установке элементов опалубки в несколько ярусов каждый последующий ярус следует устанавливать после закрепления нижнего яруса.</w:t>
      </w:r>
    </w:p>
    <w:p>
      <w:pPr>
        <w:spacing w:line="240" w:lineRule="auto"/>
        <w:rPr>
          <w:rFonts w:hAnsi="Times New Roman" w:cs="Times New Roman"/>
          <w:color w:val="000000"/>
          <w:sz w:val="24"/>
          <w:szCs w:val="24"/>
        </w:rPr>
      </w:pPr>
      <w:r>
        <w:rPr>
          <w:rFonts w:hAnsi="Times New Roman" w:cs="Times New Roman"/>
          <w:color w:val="000000"/>
          <w:sz w:val="24"/>
          <w:szCs w:val="24"/>
        </w:rPr>
        <w:t>5.1.31. Разборка опалубки должна производиться после достижения бетоном заданной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Минимальная прочность бетона при распалубке загруженных конструкций, в том числе от собственной нагрузки, определяется организационно-технологической документацией и согласовывается с проектной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5.1.32. При разборке опалубки необходимо принимать меры против случайного падения элементов опалубки, обрушения поддерживающих строительных лесов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перемещении секций опалубки и передвижных строительных лесов необходимо принимать меры, обеспечивающие безопасность работников. Работникам, не участвующим в этой операции, находиться на секциях опалубки или передвижных строительных лесах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5.1.34. При уплотнении бетонной смеси электровибраторами перемещать его за токоведущие кабели не допускается, а при перерывах в работе и при переходе с одного места на другое электровибраторы необходимо выключать.</w:t>
      </w:r>
    </w:p>
    <w:p>
      <w:pPr>
        <w:spacing w:line="240" w:lineRule="auto"/>
        <w:rPr>
          <w:rFonts w:hAnsi="Times New Roman" w:cs="Times New Roman"/>
          <w:color w:val="000000"/>
          <w:sz w:val="24"/>
          <w:szCs w:val="24"/>
        </w:rPr>
      </w:pPr>
      <w:r>
        <w:rPr>
          <w:rFonts w:hAnsi="Times New Roman" w:cs="Times New Roman"/>
          <w:color w:val="000000"/>
          <w:sz w:val="24"/>
          <w:szCs w:val="24"/>
        </w:rPr>
        <w:t>5.1.35. При устройстве технологических отверстий для пропуска трубопроводов в бетонных и железобетонных конструкциях алмазными кольцевыми сверлами необходимо на месте ожидаемого падения керна оградить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5.1.36. При электропрогреве бетона монтаж и присоединение электрооборудования к питающей сети должны выполнять работники из числа электротехнического персонала, имеющие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5.1.37. В зоне электропрогрева необходимо применять изолированные гибкие кабели или провода в защитном шланге. Не допускается прокладывать провода непосредственно по грунту или по слою опилок, а также провода с нарушенной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5.1.38. Открытая (незабетонированная) арматура железобетонных конструкций, связанная с участком, находящимся под электропрогревом, подлежит заземлению (занулению).</w:t>
      </w:r>
    </w:p>
    <w:p>
      <w:pPr>
        <w:spacing w:line="240" w:lineRule="auto"/>
        <w:rPr>
          <w:rFonts w:hAnsi="Times New Roman" w:cs="Times New Roman"/>
          <w:color w:val="000000"/>
          <w:sz w:val="24"/>
          <w:szCs w:val="24"/>
        </w:rPr>
      </w:pPr>
      <w:r>
        <w:rPr>
          <w:rFonts w:hAnsi="Times New Roman" w:cs="Times New Roman"/>
          <w:color w:val="000000"/>
          <w:sz w:val="24"/>
          <w:szCs w:val="24"/>
        </w:rPr>
        <w:t>5.1.39. После каждого перемещения электрооборудования, применяемого при прогреве бетона, на новое место следует измерить сопротивление изоляции мегаомметром.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инструмента, угрожающей аварией на рабочем месте, монтажнику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Самому неисправность не устранять;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случившемся непосредственному руководителю работ и работнику, ответственному за осуществление производственного контроля.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При невозможности выполнить тушение собственными силами монтажнику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оборудование, инструмент, приспособления, оснастку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9ce7bba9a14d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