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моториста (по автомобильным двигателям)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моториста (по автомобильным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мотористом (по автомобильным двигателям)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перемещаемые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вывешенного автомобиля или снимаемых с него узлов и деталей;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стесненные условия работы при ремонте и регулировке узлов и систем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состояние рабочей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4.1.5.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4.1.6.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4.1.7. Приготовить подстилку для работы под автомобилем (лежаки или специальные тележки).</w:t>
      </w:r>
    </w:p>
    <w:p>
      <w:pPr>
        <w:spacing w:line="240" w:lineRule="auto"/>
        <w:rPr>
          <w:rFonts w:hAnsi="Times New Roman" w:cs="Times New Roman"/>
          <w:color w:val="000000"/>
          <w:sz w:val="24"/>
          <w:szCs w:val="24"/>
        </w:rPr>
      </w:pPr>
      <w:r>
        <w:rPr>
          <w:rFonts w:hAnsi="Times New Roman" w:cs="Times New Roman"/>
          <w:color w:val="000000"/>
          <w:sz w:val="24"/>
          <w:szCs w:val="24"/>
        </w:rPr>
        <w:t>4.1.8. Убедиться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4.1.9.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вблизи легковоспламеняющихся веществ;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инвентаря,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Перед использованием переносного светильника проверить, есть ли на лампе защитная сетка, исправны ли шнур и изоляционная резиновая трубка. Переносные светильники должны включаться в электросеть с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4.4.3. Напряжение переносных электроламп и ламп освещения в осмотровой яме должно быть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Техническое обслуживание и ремонт транспортных средств должны производиться в специально отведенных местах (ремонтно-механических мастерских, постах), оснащенных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5.1.8. Работы с повышенной опасностью в процессе технического обслуживания и ремонта транспортных средств должны выполняться в соответствии с нарядом-допуском на производство работ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Нарядом-допуском определяются содержание, место, время и условия производства работ с повышенной опасностью, необходимые меры безопасности, состав бригады и работники, ответственные за организацию и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5.1.9. Транспортные средства, направляемые на посты технического обслуживания и ремонта (далее – посты ТО), должны быть вымыты, очищены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5.1.10. После постановки транспортного средства на пост ТО необходимо выполнить следующее: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затормозить транспортное средство стояночным тормозом;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зажигание (перекрыть подачу топлива в транспортном средстве с дизельным двигателем);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рычаг переключения передач (контроллера) в нейтральное положение;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 колеса подложить не менее двух специальных упоров (башмаков);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рулевое колесо вывесить запрещающий комбинированный знак безопасности с поясняющей надписью «Двигатель не пускать! Работают люди» (на транспортных средствах, имеющих дублирующее устройство для пуска двигателя, аналогичный знак должен быть вывешен и на дублирующее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5.1.11. Убирать рабочее место от пыли, опилок, стружки, мелких металлических обрезков разрешается только с помощью щетки-сметки, пылесоса или специальных магнитных стружкоудаляющих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этих целей сжатый воздух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поворотном стенде (опрокидывателе) необходимо предварительно укрепить на нем транспортное средство, слить топливо из топливных баков и жидкость из системы охлаждения и других систем, плотно закрыть маслозаливную горловину двигателя и снять аккумуляторную батарею.</w:t>
      </w:r>
    </w:p>
    <w:p>
      <w:pPr>
        <w:spacing w:line="240" w:lineRule="auto"/>
        <w:rPr>
          <w:rFonts w:hAnsi="Times New Roman" w:cs="Times New Roman"/>
          <w:color w:val="000000"/>
          <w:sz w:val="24"/>
          <w:szCs w:val="24"/>
        </w:rPr>
      </w:pPr>
      <w:r>
        <w:rPr>
          <w:rFonts w:hAnsi="Times New Roman" w:cs="Times New Roman"/>
          <w:color w:val="000000"/>
          <w:sz w:val="24"/>
          <w:szCs w:val="24"/>
        </w:rPr>
        <w:t>5.1.13. Для снятия, установки и перемещения на рабочем месте тяжелых (массой более 15 кг) деталей, узлов и агрегатов должны быть предусмотрены грузоподъемные устройства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5.1.14. При снятии и установке агрегатов и узлов, которые после отсоединения от транспортного средства могут оказаться в подвешенном состоянии, необходимо применять страхующие (фиксирующие) устройства и приспособления (тележки-подъемники, подставки, канатные петли, крюки), исключающие самопроизвольное смещение или падение снимаемых или устанавливаемых агрегатов и узлов.</w:t>
      </w:r>
    </w:p>
    <w:p>
      <w:pPr>
        <w:spacing w:line="240" w:lineRule="auto"/>
        <w:rPr>
          <w:rFonts w:hAnsi="Times New Roman" w:cs="Times New Roman"/>
          <w:color w:val="000000"/>
          <w:sz w:val="24"/>
          <w:szCs w:val="24"/>
        </w:rPr>
      </w:pPr>
      <w:r>
        <w:rPr>
          <w:rFonts w:hAnsi="Times New Roman" w:cs="Times New Roman"/>
          <w:color w:val="000000"/>
          <w:sz w:val="24"/>
          <w:szCs w:val="24"/>
        </w:rPr>
        <w:t>5.1.15. Перед снятием узлов и агрегатов систем питания, охлаждения и смазки транспортных средств, когда возможно вытекание жидкости, необходимо предварительно слить из них топливо, масло и охлаждающую жидкость в специальную тару, не допуская их проливания.</w:t>
      </w:r>
    </w:p>
    <w:p>
      <w:pPr>
        <w:spacing w:line="240" w:lineRule="auto"/>
        <w:rPr>
          <w:rFonts w:hAnsi="Times New Roman" w:cs="Times New Roman"/>
          <w:color w:val="000000"/>
          <w:sz w:val="24"/>
          <w:szCs w:val="24"/>
        </w:rPr>
      </w:pPr>
      <w:r>
        <w:rPr>
          <w:rFonts w:hAnsi="Times New Roman" w:cs="Times New Roman"/>
          <w:color w:val="000000"/>
          <w:sz w:val="24"/>
          <w:szCs w:val="24"/>
        </w:rPr>
        <w:t>5.1.16. Разлитое масло или топливо необходимо немедленно удалять с помощью песка, опилок или органических сорбентов, которые после использования следует помещать в металлические емкости с крышками, устанавливаемые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5.1.17. В зоне технического обслуживания и ремонта транспортных средств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агрегаты транспортных средств легковоспламеняющимися жидкостями;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жидкости и горючие материалы, кислоты, краски, карбид кальция в количествах, превышающих сменную потребность работников в данных веществах;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транспортные средства топливом;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чистые обтирочные материалы вместе с использованными;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между осмотровыми канавами и выходы из помещений материалами, оборудованием, тарой, снятыми агрегатами;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отработанное масло, порожнюю тару из-под топлива и смазочных материалов;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работы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5.1.19. При мойке агрегатов, узлов и деталей транспортных средств необходимо соблюдать следующие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концентрация щелочных растворов должна быть не более 2–5 процентов;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мойки щелочным раствором обязательна промывка горячей водой;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агрегаты и детали массой, превышающей предельно установленную для ручного подъема и перемещения работниками, необходимо доставлять на пост мойки и загружать в моечные установки механизированным способом;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моющие и дезинфицирующие средства, используемые для мойки транспортного средства, необходимо применять в соответствии с инструкцией завода-изготовителя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5.1.20. Моечные ванны с керосином и другими моющими средствами, предусмотренными технологическим процессом, по окончании мойки должны закрываться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5.1.21. Уровень моющих растворов в загруженной моечной ванне должен быть на 10 см ниже ее краев.</w:t>
      </w:r>
    </w:p>
    <w:p>
      <w:pPr>
        <w:spacing w:line="240" w:lineRule="auto"/>
        <w:rPr>
          <w:rFonts w:hAnsi="Times New Roman" w:cs="Times New Roman"/>
          <w:color w:val="000000"/>
          <w:sz w:val="24"/>
          <w:szCs w:val="24"/>
        </w:rPr>
      </w:pPr>
      <w:r>
        <w:rPr>
          <w:rFonts w:hAnsi="Times New Roman" w:cs="Times New Roman"/>
          <w:color w:val="000000"/>
          <w:sz w:val="24"/>
          <w:szCs w:val="24"/>
        </w:rPr>
        <w:t>Установки для мойки деталей, узлов и агрегатов должны иметь блокирующее устройство, отключающее привод при открытом загрузочном люке.</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в помещении мойки и горючими жидкостями;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бензин для протирки транспортных средств и мойки деталей, узлов и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5.1.23. Проверять соосность отверстий в соединениях агрегатов, узлов и деталей разрешается только при помощи конусной оправки.</w:t>
      </w:r>
    </w:p>
    <w:p>
      <w:pPr>
        <w:spacing w:line="240" w:lineRule="auto"/>
        <w:rPr>
          <w:rFonts w:hAnsi="Times New Roman" w:cs="Times New Roman"/>
          <w:color w:val="000000"/>
          <w:sz w:val="24"/>
          <w:szCs w:val="24"/>
        </w:rPr>
      </w:pPr>
      <w:r>
        <w:rPr>
          <w:rFonts w:hAnsi="Times New Roman" w:cs="Times New Roman"/>
          <w:color w:val="000000"/>
          <w:sz w:val="24"/>
          <w:szCs w:val="24"/>
        </w:rPr>
        <w:t>5.1.24. Снятые с транспортных средств агрегаты, узлы и детали следует устанавливать на специальные устойчивые подставки, а длинномерные детали – на стеллажи.</w:t>
      </w:r>
    </w:p>
    <w:p>
      <w:pPr>
        <w:spacing w:line="240" w:lineRule="auto"/>
        <w:rPr>
          <w:rFonts w:hAnsi="Times New Roman" w:cs="Times New Roman"/>
          <w:color w:val="000000"/>
          <w:sz w:val="24"/>
          <w:szCs w:val="24"/>
        </w:rPr>
      </w:pPr>
      <w:r>
        <w:rPr>
          <w:rFonts w:hAnsi="Times New Roman" w:cs="Times New Roman"/>
          <w:color w:val="000000"/>
          <w:sz w:val="24"/>
          <w:szCs w:val="24"/>
        </w:rPr>
        <w:t>Снятие и установка агрегатов, узлов и деталей, требующие больших физических усилий или связанные с неудобством и опасностью травмирования, должны производиться с помощью специальных съемников и других приспособлений, исключающих травмирование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5.1.25. Запрессовку и выпрессовку деталей с тугой посадкой следует выполнять прессами, винтовыми и гидравлическими съемниками.</w:t>
      </w:r>
    </w:p>
    <w:p>
      <w:pPr>
        <w:spacing w:line="240" w:lineRule="auto"/>
        <w:rPr>
          <w:rFonts w:hAnsi="Times New Roman" w:cs="Times New Roman"/>
          <w:color w:val="000000"/>
          <w:sz w:val="24"/>
          <w:szCs w:val="24"/>
        </w:rPr>
      </w:pPr>
      <w:r>
        <w:rPr>
          <w:rFonts w:hAnsi="Times New Roman" w:cs="Times New Roman"/>
          <w:color w:val="000000"/>
          <w:sz w:val="24"/>
          <w:szCs w:val="24"/>
        </w:rPr>
        <w:t>Прессы должны быть укомплектованы набором оправок для различных выпрессовываемых или запрессовываемых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применение выколоток и молотков с оправками и наконечниками из мягкого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5.1.26. При проверке уровня масла и жидкости в агрегатах запрещается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5.1.27. При замене или доливе масла и жидкости в агрегаты сливные и заливные пробки необходимо отворачивать и заворачивать только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5.1.28. Нагнетатели смазки с электроприводом должны иметь устройства, исключающие превышение установленного давления более чем на 10 процентов. При проверке этого требования срабатывание предохранительного устройства должно происходить при повышении максимального давления не более 4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5.1.29. Нагнетатели смазки с пневмоприводом должны быть рассчитаны на потребление воздуха с давлением не более 0,8 МПа.</w:t>
      </w:r>
    </w:p>
    <w:p>
      <w:pPr>
        <w:spacing w:line="240" w:lineRule="auto"/>
        <w:rPr>
          <w:rFonts w:hAnsi="Times New Roman" w:cs="Times New Roman"/>
          <w:color w:val="000000"/>
          <w:sz w:val="24"/>
          <w:szCs w:val="24"/>
        </w:rPr>
      </w:pPr>
      <w:r>
        <w:rPr>
          <w:rFonts w:hAnsi="Times New Roman" w:cs="Times New Roman"/>
          <w:color w:val="000000"/>
          <w:sz w:val="24"/>
          <w:szCs w:val="24"/>
        </w:rPr>
        <w:t>5.1.30. Антифриз необходимо хранить и перевозить в исправных металлических герметически закрывающихся бидонах и бочках с завинчивающимися пробками. Крышки и пробки должны быть опломбированы. Порожняя тара из-под антифриза также должна пломбироваться.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5.1.31. Перед тем как налить антифриз, необходимо очистить тару от остатков нефтепродуктов, твердых осадков, налетов, ржавчины, промыть щелочным раствором и пропарить.</w:t>
      </w:r>
    </w:p>
    <w:p>
      <w:pPr>
        <w:spacing w:line="240" w:lineRule="auto"/>
        <w:rPr>
          <w:rFonts w:hAnsi="Times New Roman" w:cs="Times New Roman"/>
          <w:color w:val="000000"/>
          <w:sz w:val="24"/>
          <w:szCs w:val="24"/>
        </w:rPr>
      </w:pPr>
      <w:r>
        <w:rPr>
          <w:rFonts w:hAnsi="Times New Roman" w:cs="Times New Roman"/>
          <w:color w:val="000000"/>
          <w:sz w:val="24"/>
          <w:szCs w:val="24"/>
        </w:rPr>
        <w:t>5.1.32. Антифриз должен наливаться в тару не более чем на 90 процентов ее емкости. На таре, в которой хранят (перевозят) антифриз, и на порожней таре из-под него должна быть несмываемая надпись крупными буквами «ЯД», а также предупреждающий знак.</w:t>
      </w:r>
    </w:p>
    <w:p>
      <w:pPr>
        <w:spacing w:line="240" w:lineRule="auto"/>
        <w:rPr>
          <w:rFonts w:hAnsi="Times New Roman" w:cs="Times New Roman"/>
          <w:color w:val="000000"/>
          <w:sz w:val="24"/>
          <w:szCs w:val="24"/>
        </w:rPr>
      </w:pPr>
      <w:r>
        <w:rPr>
          <w:rFonts w:hAnsi="Times New Roman" w:cs="Times New Roman"/>
          <w:color w:val="000000"/>
          <w:sz w:val="24"/>
          <w:szCs w:val="24"/>
        </w:rPr>
        <w:t>5.1.33. Слитый из системы охлаждения двигателя антифриз должен быть сдан по акту на склад для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5.1.34. Перед заправкой системы охлаждения двигателя антифризом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в системе охлаждения (в соединительных шлангах, радиаторе, сальниках водяного насоса) течи и при обнаружении течи устранить ее;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промыть систему охлаждения чистой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5.1.35. Заправку системы охлаждения двигателя антифризом следует производить при помощи специально предназначенной для этой цели посуды (ведро с носиком, бачок, воронка). Заправочная посуда должна быть очищена и промыта и иметь надпись «Только для антифриза».</w:t>
      </w:r>
    </w:p>
    <w:p>
      <w:pPr>
        <w:spacing w:line="240" w:lineRule="auto"/>
        <w:rPr>
          <w:rFonts w:hAnsi="Times New Roman" w:cs="Times New Roman"/>
          <w:color w:val="000000"/>
          <w:sz w:val="24"/>
          <w:szCs w:val="24"/>
        </w:rPr>
      </w:pPr>
      <w:r>
        <w:rPr>
          <w:rFonts w:hAnsi="Times New Roman" w:cs="Times New Roman"/>
          <w:color w:val="000000"/>
          <w:sz w:val="24"/>
          <w:szCs w:val="24"/>
        </w:rPr>
        <w:t>5.1.36. При заправке антифризом необходимо принять меры, исключающие попадание в него нефтепродуктов (бензина, дизельного топлива, масла), так как они во время работы приводят к вспениванию антифриза.</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антифриз в несоответствующую тару;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(переливать) антифриз через шланг без использования специально предназначенного для этого эжекторного устройства;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антифриз вместе с людьми, животными, пищевыми продуктами;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тару из-под антифриза для перевозки и хранения пищевых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5.1.38. Хранение материалов должно быть организовано с учетом их совместимости. Взаимно реагирующие вещества надлежит хранить раздельно.</w:t>
      </w:r>
    </w:p>
    <w:p>
      <w:pPr>
        <w:spacing w:line="240" w:lineRule="auto"/>
        <w:rPr>
          <w:rFonts w:hAnsi="Times New Roman" w:cs="Times New Roman"/>
          <w:color w:val="000000"/>
          <w:sz w:val="24"/>
          <w:szCs w:val="24"/>
        </w:rPr>
      </w:pPr>
      <w:r>
        <w:rPr>
          <w:rFonts w:hAnsi="Times New Roman" w:cs="Times New Roman"/>
          <w:color w:val="000000"/>
          <w:sz w:val="24"/>
          <w:szCs w:val="24"/>
        </w:rPr>
        <w:t>5.1.39. Отработанное масло должно сливаться в металлические бочки или подземные цистерны и храниться в специальных огнестойких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использовать открытый огонь в помещениях, в которых хранятся или используются горючие и легковоспламеняющиеся материалы или жидкости (бензин, керосин, сжатый или сжиженный газ, краски, лаки, растворители, древесина, стружка, вата, пакля).</w:t>
      </w:r>
    </w:p>
    <w:p>
      <w:pPr>
        <w:spacing w:line="240" w:lineRule="auto"/>
        <w:rPr>
          <w:rFonts w:hAnsi="Times New Roman" w:cs="Times New Roman"/>
          <w:color w:val="000000"/>
          <w:sz w:val="24"/>
          <w:szCs w:val="24"/>
        </w:rPr>
      </w:pPr>
      <w:r>
        <w:rPr>
          <w:rFonts w:hAnsi="Times New Roman" w:cs="Times New Roman"/>
          <w:color w:val="000000"/>
          <w:sz w:val="24"/>
          <w:szCs w:val="24"/>
        </w:rPr>
        <w:t>5.1.41. Детали, узлы, агрегаты, запасные части должны размещаться в помещениях на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5.1.42. Пустая тара из-под нефтепродуктов, красок и растворителей должна храниться в отдельных помещениях или на открытых площадках и иметь бирки (ярлыки) с точным названием содержавшегося в ней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5.1.43.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5.1.46. Заметив нарушение требований охраны труда другим работником, мотористу (по автомобильным двигателям)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5.1.47.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5.1.50.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5.1.51. При выполнении работ мотористу (по автомобильным двигателям)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посторонних лиц;</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легковоспламеняющихся материалов во избежание загорания от выхлопной трубы;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инструмент, приспособления, инвентарь и др. в предназначенные для их хранения места,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59822bae7c643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