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административно-хозяйственной части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административно-хозяйственной части.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административно-хозяйственной части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на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с высоты;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материала и т. д.</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Если в помещении расположены несколько рабочих мест, то расстояние между рабочими столами с видеомониторами (в направлении тыла поверхности одного видеомонитора и экрана другого видеомонитора) должно быть не менее 2,0 м, а расстояние между боковыми поверхностями видеомониторов –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4.1.3. Не рекомендуется располагать монитор экраном к окну.</w:t>
      </w:r>
    </w:p>
    <w:p>
      <w:pPr>
        <w:spacing w:line="240" w:lineRule="auto"/>
        <w:rPr>
          <w:rFonts w:hAnsi="Times New Roman" w:cs="Times New Roman"/>
          <w:color w:val="000000"/>
          <w:sz w:val="24"/>
          <w:szCs w:val="24"/>
        </w:rPr>
      </w:pPr>
      <w:r>
        <w:rPr>
          <w:rFonts w:hAnsi="Times New Roman" w:cs="Times New Roman"/>
          <w:color w:val="000000"/>
          <w:sz w:val="24"/>
          <w:szCs w:val="24"/>
        </w:rPr>
        <w:t>4.1.4.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4.1.5. Необходимо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4.1.6. Перед началом работы на офисном оборудовании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этого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4.1.7.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Начальник административно-хозяйственной части должен включать офисное оборудование в работу в той последовательности, которая определена инструкцией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Для подключения офисного оборудования к электрической сети необходимо использовать шнур питания, поставляемый в комплекте с оборудованием; не следует использовать для этой цели самодельные электрические шнуры.</w:t>
      </w:r>
    </w:p>
    <w:p>
      <w:pPr>
        <w:spacing w:line="240" w:lineRule="auto"/>
        <w:rPr>
          <w:rFonts w:hAnsi="Times New Roman" w:cs="Times New Roman"/>
          <w:color w:val="000000"/>
          <w:sz w:val="24"/>
          <w:szCs w:val="24"/>
        </w:rPr>
      </w:pPr>
      <w:r>
        <w:rPr>
          <w:rFonts w:hAnsi="Times New Roman" w:cs="Times New Roman"/>
          <w:color w:val="000000"/>
          <w:sz w:val="24"/>
          <w:szCs w:val="24"/>
        </w:rPr>
        <w:t>5.1.3. Начальник административно-хозяйственной части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При помощи поворотной площадки монитор персонального компьютера должен быть отрегулирован в соответствии с рабочей позой.</w:t>
      </w:r>
    </w:p>
    <w:p>
      <w:pPr>
        <w:spacing w:line="240" w:lineRule="auto"/>
        <w:rPr>
          <w:rFonts w:hAnsi="Times New Roman" w:cs="Times New Roman"/>
          <w:color w:val="000000"/>
          <w:sz w:val="24"/>
          <w:szCs w:val="24"/>
        </w:rPr>
      </w:pPr>
      <w:r>
        <w:rPr>
          <w:rFonts w:hAnsi="Times New Roman" w:cs="Times New Roman"/>
          <w:color w:val="000000"/>
          <w:sz w:val="24"/>
          <w:szCs w:val="24"/>
        </w:rPr>
        <w:t>5.1.5. Конструкция рабочего кресла должна обеспечивать поддержание рабочей позы начальника административно-хозяйственной части при работе с персональным компьютером,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5.1.6. С целью снижения зрительного и костно-мышечного утомления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5.1.7.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5.1.9. Все работы на копировально-множительной технике должны выполняться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возможности возникновения пожара нельзя допускать скопление бумажной пыли на конструктивных элементах копировально-множительной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5.1.11. Во избежание пожара в помещении, где выполняются копировально-множительные работы, запрещается курить, зажигать спички, пользоваться огнем и открытыми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предупреждения неблагоприятного воздействия на организм человека вредных веществ, содержащихся в материалах, применяемых в копировально-множительной технике, помещение, в котором производятся эти работы, должно быть оборудовано приточно-вытяжной вентиляцией или иметь хорошую естественную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проведении осмотра зданий и сооружений начальник административно-хозяйственной части обязан соблюдать повышенные меры безопасности. Осмотр зданий в вечернее время необходимо осуществлять при наличии фонаря, средств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в начальной стадии приступить к тушению пожара имеющимися средствами пожаротушения; при обнаружении возгорания немедленно сообщить об этом непосредственному руководителю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любой подходящий материал;</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db2cf9a0af340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