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горного участка открытых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горного участка открытых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Ростехнадзора от 08.12.2020 N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горного участка открытых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Организовать:</w:t>
      </w:r>
    </w:p>
    <w:p>
      <w:pPr>
        <w:spacing w:line="240" w:lineRule="auto"/>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w:t>
      </w:r>
    </w:p>
    <w:p>
      <w:pPr>
        <w:spacing w:line="240" w:lineRule="auto"/>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spacing w:line="240" w:lineRule="auto"/>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spacing w:line="240" w:lineRule="auto"/>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5.1.5.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5.1.8.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5.1.9.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отработки уступов экскаваторами с верхней погрузкой расстояние от бровки уступа до оси железнодорожного пути или автодороги должна быть определена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5.1.11. Высота уступа (пидуступа)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5.1.12.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5.1.13. При ведении вскрышных работ, осуществляемых за бестранспортной системой разработки, расстояние между нижней бровкой уступа полезных ископаемых и породного отвала должна быть определена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5.1.14. Расстояние между смежными предохранительными бермы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5.1.15.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5.1.16.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5.1.17.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5.1.18.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5.1.19.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5.1.20.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5.1.25.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5.2.3.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приборов, аппаратуры и механизмов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087265e107a41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