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участка контроля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участка контроля.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участка контроля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изделия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недостаток естественного освещения;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шероховатость поверхности материалов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4.4.4.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4.4.6.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исправность и подготовить к работе применяемые измерительные инструменты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4.4.10.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Не производить приемку деталей в непосредственной близости от движущихся механизмов, около неустойчиво сложенных штабелей и заготовок, изделий и отходов, а также в проходах и проездах.</w:t>
      </w:r>
    </w:p>
    <w:p>
      <w:pPr>
        <w:spacing w:line="240" w:lineRule="auto"/>
        <w:rPr>
          <w:rFonts w:hAnsi="Times New Roman" w:cs="Times New Roman"/>
          <w:color w:val="000000"/>
          <w:sz w:val="24"/>
          <w:szCs w:val="24"/>
        </w:rPr>
      </w:pPr>
      <w:r>
        <w:rPr>
          <w:rFonts w:hAnsi="Times New Roman" w:cs="Times New Roman"/>
          <w:color w:val="000000"/>
          <w:sz w:val="24"/>
          <w:szCs w:val="24"/>
        </w:rPr>
        <w:t>5.1.6. Содержать рабочее место в чистоте и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во время работы оборудования производить его ремонт и наладку.</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5.1.11.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5.1.12. Эксплуатацию оборудования осуществлять с руководством по эксплуатации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9568a4b1c6347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