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участка по производству смазочных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участка по производству смазочных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участка по производству смазочных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участка по производству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участка по производству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участка по производству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участка по производству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участка по производству смазочных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</w:t>
      </w:r>
      <w:r>
        <w:rPr>
          <w:rFonts w:hAnsi="Times New Roman" w:cs="Times New Roman"/>
          <w:color w:val="000000"/>
          <w:sz w:val="24"/>
          <w:szCs w:val="24"/>
        </w:rPr>
        <w:t xml:space="preserve">утв.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начальником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участка по производству смазочных материалов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участка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участка по производству смазочных материалов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участка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201c217a3e4a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