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намотчика спиралей (при производстве ламп накаливания)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намотчика спиралей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от 29.10.2021 № 772н</w:t>
      </w:r>
      <w:r>
        <w:rPr>
          <w:rFonts w:hAnsi="Times New Roman" w:cs="Times New Roman"/>
          <w:b/>
          <w:bCs/>
          <w:color w:val="000000"/>
          <w:sz w:val="24"/>
          <w:szCs w:val="24"/>
        </w:rPr>
        <w:t xml:space="preserve"> «</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27.11.2020 N 833н</w:t>
      </w:r>
      <w:r>
        <w:rPr>
          <w:rFonts w:hAnsi="Times New Roman" w:cs="Times New Roman"/>
          <w:color w:val="000000"/>
          <w:sz w:val="24"/>
          <w:szCs w:val="24"/>
        </w:rPr>
        <w:t xml:space="preserve"> "Об утверждении Правил по охране труда при размещении, монтаже, техническом обслуживании и ремонте технологического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намотчиком спиралей допускаются лица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освещённость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шум и вибрация;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оборудования, материалов и расплавов припоев;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производственного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показаниями приборов,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намотчику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электрооборудованием,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Правильно выполнять приемы работы при намотке катушек и секций электромашин, пайке и сварке концов проводов, обслуживании и наладке оборудования,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5.1.8. Все работы производить в соответствии с технологической документацией и инструкциями по эксплуатации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5.1.9. Осмотр, наладку, смазку механизмов осуществлять только при отключении оборудования от сети, полной остановке его движущихся и вращающихся элементов с выполнением мер, исключающих незапланированный запуск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5.1.10. При выполнении работ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5.1.11.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5.1.12.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5.1.13. Заметив нарушение требований охраны труда другим работником, намотчику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5.1.14.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5.1.15.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5.1.16.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5.1.17.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5.1.18.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5.1.19. Перед началом работы с электроинструментом проверяются:</w:t>
      </w:r>
    </w:p>
    <w:p>
      <w:pPr>
        <w:spacing w:line="240" w:lineRule="auto"/>
        <w:rPr>
          <w:rFonts w:hAnsi="Times New Roman" w:cs="Times New Roman"/>
          <w:color w:val="000000"/>
          <w:sz w:val="24"/>
          <w:szCs w:val="24"/>
        </w:rPr>
      </w:pPr>
      <w:r>
        <w:rPr>
          <w:rFonts w:hAnsi="Times New Roman" w:cs="Times New Roman"/>
          <w:color w:val="000000"/>
          <w:sz w:val="24"/>
          <w:szCs w:val="24"/>
        </w:rPr>
        <w:t>класс электроинструмента, возможность его применения с точки зрения безопасности в соответствии с местом и характером работы;</w:t>
      </w:r>
    </w:p>
    <w:p>
      <w:pPr>
        <w:spacing w:line="240" w:lineRule="auto"/>
        <w:rPr>
          <w:rFonts w:hAnsi="Times New Roman" w:cs="Times New Roman"/>
          <w:color w:val="000000"/>
          <w:sz w:val="24"/>
          <w:szCs w:val="24"/>
        </w:rPr>
      </w:pPr>
      <w:r>
        <w:rPr>
          <w:rFonts w:hAnsi="Times New Roman" w:cs="Times New Roman"/>
          <w:color w:val="000000"/>
          <w:sz w:val="24"/>
          <w:szCs w:val="24"/>
        </w:rPr>
        <w:t>соответствие напряжения и частоты тока в электрической сети напряжению и частоте тока электродвигателя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работоспособность устройства защитного отключения (в зависимости от условий работы);</w:t>
      </w:r>
    </w:p>
    <w:p>
      <w:pPr>
        <w:spacing w:line="240" w:lineRule="auto"/>
        <w:rPr>
          <w:rFonts w:hAnsi="Times New Roman" w:cs="Times New Roman"/>
          <w:color w:val="000000"/>
          <w:sz w:val="24"/>
          <w:szCs w:val="24"/>
        </w:rPr>
      </w:pPr>
      <w:r>
        <w:rPr>
          <w:rFonts w:hAnsi="Times New Roman" w:cs="Times New Roman"/>
          <w:color w:val="000000"/>
          <w:sz w:val="24"/>
          <w:szCs w:val="24"/>
        </w:rPr>
        <w:t>надежность крепления съемного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5.1.20. Классы электроинструмента в зависимости от способа осуществления защиты от поражения электрическим током следующие:</w:t>
      </w:r>
    </w:p>
    <w:p>
      <w:pPr>
        <w:spacing w:line="240" w:lineRule="auto"/>
        <w:rPr>
          <w:rFonts w:hAnsi="Times New Roman" w:cs="Times New Roman"/>
          <w:color w:val="000000"/>
          <w:sz w:val="24"/>
          <w:szCs w:val="24"/>
        </w:rPr>
      </w:pPr>
      <w:r>
        <w:rPr>
          <w:rFonts w:hAnsi="Times New Roman" w:cs="Times New Roman"/>
          <w:color w:val="000000"/>
          <w:sz w:val="24"/>
          <w:szCs w:val="24"/>
        </w:rPr>
        <w:t>0 класс – электроинструмент, в котором защита от поражения электрическим током обеспечивается основной изоляцией, при этом отсутствует электрическое соединение открытых проводящих частей (если они имеются) с защитным проводником стационарной проводки;</w:t>
      </w:r>
    </w:p>
    <w:p>
      <w:pPr>
        <w:spacing w:line="240" w:lineRule="auto"/>
        <w:rPr>
          <w:rFonts w:hAnsi="Times New Roman" w:cs="Times New Roman"/>
          <w:color w:val="000000"/>
          <w:sz w:val="24"/>
          <w:szCs w:val="24"/>
        </w:rPr>
      </w:pPr>
      <w:r>
        <w:rPr>
          <w:rFonts w:hAnsi="Times New Roman" w:cs="Times New Roman"/>
          <w:color w:val="000000"/>
          <w:sz w:val="24"/>
          <w:szCs w:val="24"/>
        </w:rPr>
        <w:t>I класс – электроинструмент, в котором защита от поражения электрическим током обеспечивается основной изоляцией и соединением открытых проводящих частей, доступных для прикосновения, с защитным проводником стационарной проводки;</w:t>
      </w:r>
    </w:p>
    <w:p>
      <w:pPr>
        <w:spacing w:line="240" w:lineRule="auto"/>
        <w:rPr>
          <w:rFonts w:hAnsi="Times New Roman" w:cs="Times New Roman"/>
          <w:color w:val="000000"/>
          <w:sz w:val="24"/>
          <w:szCs w:val="24"/>
        </w:rPr>
      </w:pPr>
      <w:r>
        <w:rPr>
          <w:rFonts w:hAnsi="Times New Roman" w:cs="Times New Roman"/>
          <w:color w:val="000000"/>
          <w:sz w:val="24"/>
          <w:szCs w:val="24"/>
        </w:rPr>
        <w:t>II класс – электроинструмент, у которого защита от поражения электрическим током обеспечивается применением двойной или усиленной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III класс – электроинструмент,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выполнении работ намотчику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работающее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работать без предохранительных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облокачиваться на оборудование, класть на него инструменты, приспособления, измерительные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инструментом, приспособлениями, а также оборудованием,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сварочные и паяльные работы при неработающей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color w:val="000000"/>
          <w:sz w:val="24"/>
          <w:szCs w:val="24"/>
        </w:rPr>
        <w:t>курить;</w:t>
      </w:r>
    </w:p>
    <w:p>
      <w:pPr>
        <w:spacing w:line="240" w:lineRule="auto"/>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травма работника;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авария технологического характера, несущая угрозу здоровью или жизни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пожара оповестить окружающих людей, сообщить руководству. Тушить в зависимости от величины очага возгорания огнетушителями ОУ-2, ОУ-5, песком; при необходимости вызвать пожарную бригаду по телефону 101.</w:t>
      </w:r>
    </w:p>
    <w:p>
      <w:pPr>
        <w:spacing w:line="240" w:lineRule="auto"/>
        <w:rPr>
          <w:rFonts w:hAnsi="Times New Roman" w:cs="Times New Roman"/>
          <w:color w:val="000000"/>
          <w:sz w:val="24"/>
          <w:szCs w:val="24"/>
        </w:rPr>
      </w:pPr>
      <w:r>
        <w:rPr>
          <w:rFonts w:hAnsi="Times New Roman" w:cs="Times New Roman"/>
          <w:color w:val="000000"/>
          <w:sz w:val="24"/>
          <w:szCs w:val="24"/>
        </w:rPr>
        <w:t>6.3.2. При возгорании электрооборудования, электроинструмента или электрических кабелей необходимо отключить электропитание на силовом щите, сообщить руководству, приступить к тушению очага пожара углекислотными огнетушителями ОУ-5 или песком. Запрещается тушить электрооборудование водой или другими жидкостями.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Сдать готовые изделия и неиспользованные заготовки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7.3.2.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7.3.3. Инструмент, приспособления, оснастку и пр.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fa7af73918b472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