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нарядчика</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нарядчика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нарядчика.</w:t>
      </w:r>
    </w:p>
    <w:p>
      <w:pPr>
        <w:spacing w:line="240" w:lineRule="auto"/>
        <w:rPr>
          <w:rFonts w:hAnsi="Times New Roman" w:cs="Times New Roman"/>
          <w:color w:val="000000"/>
          <w:sz w:val="24"/>
          <w:szCs w:val="24"/>
        </w:rPr>
      </w:pPr>
      <w:r>
        <w:rPr>
          <w:rFonts w:hAnsi="Times New Roman" w:cs="Times New Roman"/>
          <w:color w:val="000000"/>
          <w:sz w:val="24"/>
          <w:szCs w:val="24"/>
        </w:rPr>
        <w:t>3.2. Нарядчику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нарядчиком допускаются лица, имеющие высшее профессиональное (техническое) образование по профильной специальности, с предъявлением или без предъявления требований к стажу работы в зависимости от категории,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с грунтовой мельницей на рабочего могут воздействовать следующие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работу заблаговременно для исключения спешки и, как следствие, падения и случаев травматизма, при этом: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4.1.3.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4.1.4.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4.1.5.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4.1.6.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4.1.7.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4.2.2. Нарядчику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 – изготовителя по эксплуатации ПЭВМ, иного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4.4.2. 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у подчиненных спецодежды, спецобуви, СИЗ, их внешнее состояние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4.4.4.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4.4.7.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4.4.8.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4.4.9.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4.4.10. Площадь на одно постоянное рабочее место пользователей персональных компьютеров на базе электронно-лучевой трубки должна составлять не менее 6 м, в помещениях культурно-развлекательных учреждений на базе плоских дискретных экранов (жидкокристаллические, плазменные) – не менее 4,5 м.</w:t>
      </w:r>
    </w:p>
    <w:p>
      <w:pPr>
        <w:spacing w:line="240" w:lineRule="auto"/>
        <w:rPr>
          <w:rFonts w:hAnsi="Times New Roman" w:cs="Times New Roman"/>
          <w:color w:val="000000"/>
          <w:sz w:val="24"/>
          <w:szCs w:val="24"/>
        </w:rPr>
      </w:pPr>
      <w:r>
        <w:rPr>
          <w:rFonts w:hAnsi="Times New Roman" w:cs="Times New Roman"/>
          <w:color w:val="000000"/>
          <w:sz w:val="24"/>
          <w:szCs w:val="24"/>
        </w:rPr>
        <w:t>4.4.11. Оснащение светопроницаемых конструкций и оконных проемов должно позволять регулировать параметры световой среды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4.4.12.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 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нарядчику следует сообщить об этом работнику, ответственному за устранение выявленных нарушений, либо вышестоящему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 40 см, не создавать слепящих бликов на клавиатуре и других частях пульта, а также на экране видеотерминала в направлении глаз;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 не более 3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Соблюдать правила перемещения в помещениях и на территории предприятия, иных объектов,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5.1.10. При исполнении трудовых обязанностей на производстве соблюдать инструкции по охране труда при выполнении соответствующего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Быть внимательным, не отвлекаться посторонними делами и разговорами, не спешить.</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нарядчику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5.1.16. Содержать рабочее место в чистоте, не загромождать проходы к рабочему месту.</w:t>
      </w:r>
    </w:p>
    <w:p>
      <w:pPr>
        <w:spacing w:line="240" w:lineRule="auto"/>
        <w:rPr>
          <w:rFonts w:hAnsi="Times New Roman" w:cs="Times New Roman"/>
          <w:color w:val="000000"/>
          <w:sz w:val="24"/>
          <w:szCs w:val="24"/>
        </w:rPr>
      </w:pPr>
      <w:r>
        <w:rPr>
          <w:rFonts w:hAnsi="Times New Roman" w:cs="Times New Roman"/>
          <w:color w:val="000000"/>
          <w:sz w:val="24"/>
          <w:szCs w:val="24"/>
        </w:rPr>
        <w:t>5.1.17.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5.1.19.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конкретном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5.1.20. Строго выполнять в установленные сроки приказы и распоряжения руководства,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b/>
          <w:bCs/>
          <w:color w:val="000000"/>
          <w:sz w:val="24"/>
          <w:szCs w:val="24"/>
        </w:rPr>
        <w:t>При выполнении работ нарядчику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5.2.1. При работе с ПЭВМ: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 При пользовании электроприборами: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 п.), а также прикасаться к электрическим проводам, неизолированным и неогражденным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5.2.3. Производить работы без применения необходимых СИЗ (при необходимости их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5.2.4.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5.2.5.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приборов и аппаратуры, а также при возникновении иных условий, угрожающих жизни и здоровью работников, нарядчику следует прекратить работу и сообщить о них своему непосредственному руководителю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6.3.4. При невозможности выполнить тушение собственными силами нарядчику следует в установленном порядке вызвать пожарную команду и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рабочее место, навести порядок.</w:t>
      </w:r>
    </w:p>
    <w:p>
      <w:pPr>
        <w:spacing w:line="240" w:lineRule="auto"/>
        <w:rPr>
          <w:rFonts w:hAnsi="Times New Roman" w:cs="Times New Roman"/>
          <w:color w:val="000000"/>
          <w:sz w:val="24"/>
          <w:szCs w:val="24"/>
        </w:rPr>
      </w:pPr>
      <w:r>
        <w:rPr>
          <w:rFonts w:hAnsi="Times New Roman" w:cs="Times New Roman"/>
          <w:color w:val="000000"/>
          <w:sz w:val="24"/>
          <w:szCs w:val="24"/>
        </w:rPr>
        <w:t>7.3.2. Оборудование, документацию и др. убрать в предназначенные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44f55a41b704a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