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облицовщика синтетическими материалами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облицовщика синтетическими материалами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облицовщика синтетическими материалами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облицовщика синтетическими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облицовщиком синтетическими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облицовщиками синтетическими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облицовщика синтетическими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облицовщиков синтетическими материалами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строительстве, реконструкции и ремонте,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при выполнении окрасочных работ,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02.12.2020 № 849н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облицовщиком синтетическими материалами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облицовщиком синтетическими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облицовщик синтетическими материалами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облицовщика синтетическими материалами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инструментов и оборудования (для облицовочных работ);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самопроизвольное обрушение элементов конструкций;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машин и передвигаемые ими конструкции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опасности, связанные с химическим воздействием применяемых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облицовщиком синтетическими материалами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транспортных средств, навесного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Облицовщик синтетическими материалами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облицовщик синтетическими материаламидолжен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облицовщик синтетическими материалами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производстве облицовочных работ необходимо соблюдать правила эксплуатации оборудования, электрооборудования, инструментов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Рабочие места для выполнения работ на высоте должны быть оборудованы средствами подмащивания и лестницами-стремянками для подъема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выполнять отделочные работы с неинвентарных средств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Места, над которыми производятся облицовочные работы, необходимо ограждать.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облицовочные работы на нескольких ярусах по одной вертикали.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на высоте сбрасывать вниз инструмент, приспособления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ручные электрические машины и электроинструмент другим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ручные электрические машины и электроинструмент, производить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держаться за провод электрической машины, электроинструмента, касаться вращающихся частей или удалять стружку, опилки до полной остановки инструмента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рабочую часть в патрон инструмента, машины и изымать ее из патрона, а также регулировать инструмент без отключения его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внутрь барабанов котлов, металлических резервуаров переносные трансформаторы и преобразователи частоты.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Ежедневно до начала выполнения работ,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Держать руки вдали от движущихся, вращающихся элементов оборудования, режущего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Очистку, регулировку, смазку, ремонт механизмов производить только при отключении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Доставку материалов, раствора и мастик на рабочие места осуществлять в инвентарной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Производить доводку мастик, содержащих летучие растворители до требуемой вязкости только в специальных вентилируемых помещениях и вдали от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Хранить мастику в таре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окрасочных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e01a7fbd2b49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