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грануляционных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грануляционных установок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Ростехнадзора от 09.12.2020 N 512</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процессов получения или применения металлов".</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для оператора грануляционных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«оператор грануляционных установок»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запыленность воздуха, превышающая установленные нормативы;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звука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электроустановки напряжением выше 42 В, при нарушении целостности изоляции которых возможно поражение человека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оборудования, инструмента;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неисполнение или ненадлежащее исполнение должностной инструкции, инструкций по охране труда, Правил трудового распорядка,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следует: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защитных и ограждающих устройств на всех открытых передачах, валах, муфтах и пр. Работать при снятых, неисправных, плохо закрепленных защитных и ограждающих устройствах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имеющихся средств сигнализации, контрольно-измерительных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рабочего инструмента (кувалды, троса, лопаты, скребков и пр.);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незагроможденность посторонними предметами рабочего места, проходов, площадок;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визуально – исправность заземления двигателей и пусковой аппаратуры;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обтирочных и смазочных материалов. Их запас не должен превышать суточной потребности, хранить их необходимо в металлических ящиках с плотно закрывающимися крышками;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на рабочем месте журнала приема-сдачи смены, инструкций по пожарной безопасности и по охране труда, инструкции по эксплуатации оборудования, а также инструкции по сигнализации для оператора грануляционных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Управление кантовкой шлаковых ковшей при сливе доменных и сталеплавильных шлаков в шлаковых отвалах или установках по производству шлаковой продукции, шлакоуборочными кранами в грануляционных установках и подачей воды в грануляционные аппараты должно быть дистанционным из специальных постов.</w:t>
      </w:r>
    </w:p>
    <w:p>
      <w:pPr>
        <w:spacing w:line="240" w:lineRule="auto"/>
        <w:rPr>
          <w:rFonts w:hAnsi="Times New Roman" w:cs="Times New Roman"/>
          <w:color w:val="000000"/>
          <w:sz w:val="24"/>
          <w:szCs w:val="24"/>
        </w:rPr>
      </w:pPr>
      <w:r>
        <w:rPr>
          <w:rFonts w:hAnsi="Times New Roman" w:cs="Times New Roman"/>
          <w:color w:val="000000"/>
          <w:sz w:val="24"/>
          <w:szCs w:val="24"/>
        </w:rPr>
        <w:t>5.1.2. При бесковшовой уборке шлака желоб должен иметь теплоизолированное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5.1.3. Установки грануляции шлака должны обеспечиваться комплексом мер по защите производственной и окружающей среды от загрязнения вредными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Придоменная грануляция шлака</w:t>
      </w:r>
    </w:p>
    <w:p>
      <w:pPr>
        <w:spacing w:line="240" w:lineRule="auto"/>
        <w:rPr>
          <w:rFonts w:hAnsi="Times New Roman" w:cs="Times New Roman"/>
          <w:color w:val="000000"/>
          <w:sz w:val="24"/>
          <w:szCs w:val="24"/>
        </w:rPr>
      </w:pPr>
      <w:r>
        <w:rPr>
          <w:rFonts w:hAnsi="Times New Roman" w:cs="Times New Roman"/>
          <w:color w:val="000000"/>
          <w:sz w:val="24"/>
          <w:szCs w:val="24"/>
        </w:rPr>
        <w:t>5.1.4. Установки придоменной грануляции шлака должны иметь в своем составе две независимые технологические линии (рабочую и резервную), обеспечивающие безопасное обслуживание и ремонт одной (резервной) линии при работе другой (рабочей) линии.</w:t>
      </w:r>
    </w:p>
    <w:p>
      <w:pPr>
        <w:spacing w:line="240" w:lineRule="auto"/>
        <w:rPr>
          <w:rFonts w:hAnsi="Times New Roman" w:cs="Times New Roman"/>
          <w:color w:val="000000"/>
          <w:sz w:val="24"/>
          <w:szCs w:val="24"/>
        </w:rPr>
      </w:pPr>
      <w:r>
        <w:rPr>
          <w:rFonts w:hAnsi="Times New Roman" w:cs="Times New Roman"/>
          <w:color w:val="000000"/>
          <w:sz w:val="24"/>
          <w:szCs w:val="24"/>
        </w:rPr>
        <w:t>5.1.5. Конструкция главных желобов и перевалов (скиммеров) доменной печи должна исключать попадание жидкого чугуна на шлаковый желоб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5.1.6. Отвод шлакового желоба на резервную линию должен быть перекрыт отсечным устройством и на длине не менее 1 м засыпан песком на 100 мм выше бортов желоба.</w:t>
      </w:r>
    </w:p>
    <w:p>
      <w:pPr>
        <w:spacing w:line="240" w:lineRule="auto"/>
        <w:rPr>
          <w:rFonts w:hAnsi="Times New Roman" w:cs="Times New Roman"/>
          <w:color w:val="000000"/>
          <w:sz w:val="24"/>
          <w:szCs w:val="24"/>
        </w:rPr>
      </w:pPr>
      <w:r>
        <w:rPr>
          <w:rFonts w:hAnsi="Times New Roman" w:cs="Times New Roman"/>
          <w:color w:val="000000"/>
          <w:sz w:val="24"/>
          <w:szCs w:val="24"/>
        </w:rPr>
        <w:t>5.1.7. Приемные бункера грануляционных установок должны быть перекрыты предохранительными решетками с ячейками не более 200x200 мм. Сброс шлаковых корок и других предметов в приемные бункера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Толщина слоя воды над предметами, задерживаемыми предохранительной решеткой, должна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накапливание в бункере-отстойнике шлака более чем от одного выпуска.</w:t>
      </w:r>
    </w:p>
    <w:p>
      <w:pPr>
        <w:spacing w:line="240" w:lineRule="auto"/>
        <w:rPr>
          <w:rFonts w:hAnsi="Times New Roman" w:cs="Times New Roman"/>
          <w:color w:val="000000"/>
          <w:sz w:val="24"/>
          <w:szCs w:val="24"/>
        </w:rPr>
      </w:pPr>
      <w:r>
        <w:rPr>
          <w:rFonts w:hAnsi="Times New Roman" w:cs="Times New Roman"/>
          <w:color w:val="000000"/>
          <w:sz w:val="24"/>
          <w:szCs w:val="24"/>
        </w:rPr>
        <w:t>5.1.9. При падении расхода или давления воды, подаваемой на грануляцию ниже предела, указанного в технологической инструкции, должен включаться резервный источник подачи воды, а при отсутствии резерва необходимо прекратить подачу шлака на данный гранулятор.</w:t>
      </w:r>
    </w:p>
    <w:p>
      <w:pPr>
        <w:spacing w:line="240" w:lineRule="auto"/>
        <w:rPr>
          <w:rFonts w:hAnsi="Times New Roman" w:cs="Times New Roman"/>
          <w:color w:val="000000"/>
          <w:sz w:val="24"/>
          <w:szCs w:val="24"/>
        </w:rPr>
      </w:pPr>
      <w:r>
        <w:rPr>
          <w:rFonts w:hAnsi="Times New Roman" w:cs="Times New Roman"/>
          <w:color w:val="000000"/>
          <w:sz w:val="24"/>
          <w:szCs w:val="24"/>
        </w:rPr>
        <w:t>5.1.10. При грануляции шлака должны быть предусмотрены автоматический контроль и нейтрализация выделяющихся сернистых соединений.</w:t>
      </w:r>
    </w:p>
    <w:p>
      <w:pPr>
        <w:spacing w:line="240" w:lineRule="auto"/>
        <w:rPr>
          <w:rFonts w:hAnsi="Times New Roman" w:cs="Times New Roman"/>
          <w:color w:val="000000"/>
          <w:sz w:val="24"/>
          <w:szCs w:val="24"/>
        </w:rPr>
      </w:pPr>
      <w:r>
        <w:rPr>
          <w:rFonts w:hAnsi="Times New Roman" w:cs="Times New Roman"/>
          <w:color w:val="000000"/>
          <w:sz w:val="24"/>
          <w:szCs w:val="24"/>
        </w:rPr>
        <w:t>5.1.11. Конструкции бункера-отстойника и бункера-сушки должны обеспечивать нормальный сход гранулированного шлака.</w:t>
      </w:r>
    </w:p>
    <w:p>
      <w:pPr>
        <w:spacing w:line="240" w:lineRule="auto"/>
        <w:rPr>
          <w:rFonts w:hAnsi="Times New Roman" w:cs="Times New Roman"/>
          <w:color w:val="000000"/>
          <w:sz w:val="24"/>
          <w:szCs w:val="24"/>
        </w:rPr>
      </w:pPr>
      <w:r>
        <w:rPr>
          <w:rFonts w:hAnsi="Times New Roman" w:cs="Times New Roman"/>
          <w:color w:val="000000"/>
          <w:sz w:val="24"/>
          <w:szCs w:val="24"/>
        </w:rPr>
        <w:t>5.1.12. Все работы по ремонту систем оборотного водоснабжения должны производиться после их осушения и охлаждения до температуры не выше 40°С.</w:t>
      </w:r>
    </w:p>
    <w:p>
      <w:pPr>
        <w:spacing w:line="240" w:lineRule="auto"/>
        <w:rPr>
          <w:rFonts w:hAnsi="Times New Roman" w:cs="Times New Roman"/>
          <w:color w:val="000000"/>
          <w:sz w:val="24"/>
          <w:szCs w:val="24"/>
        </w:rPr>
      </w:pPr>
      <w:r>
        <w:rPr>
          <w:rFonts w:hAnsi="Times New Roman" w:cs="Times New Roman"/>
          <w:color w:val="000000"/>
          <w:sz w:val="24"/>
          <w:szCs w:val="24"/>
        </w:rPr>
        <w:t>Грануляция шлака за пределами цеха</w:t>
      </w:r>
    </w:p>
    <w:p>
      <w:pPr>
        <w:spacing w:line="240" w:lineRule="auto"/>
        <w:rPr>
          <w:rFonts w:hAnsi="Times New Roman" w:cs="Times New Roman"/>
          <w:color w:val="000000"/>
          <w:sz w:val="24"/>
          <w:szCs w:val="24"/>
        </w:rPr>
      </w:pPr>
      <w:r>
        <w:rPr>
          <w:rFonts w:hAnsi="Times New Roman" w:cs="Times New Roman"/>
          <w:color w:val="000000"/>
          <w:sz w:val="24"/>
          <w:szCs w:val="24"/>
        </w:rPr>
        <w:t>5.1.13. Грануляция шлака за пределами цеха должна производиться в специальных герметизированных установках или в грануляционных бассейнах.</w:t>
      </w:r>
    </w:p>
    <w:p>
      <w:pPr>
        <w:spacing w:line="240" w:lineRule="auto"/>
        <w:rPr>
          <w:rFonts w:hAnsi="Times New Roman" w:cs="Times New Roman"/>
          <w:color w:val="000000"/>
          <w:sz w:val="24"/>
          <w:szCs w:val="24"/>
        </w:rPr>
      </w:pPr>
      <w:r>
        <w:rPr>
          <w:rFonts w:hAnsi="Times New Roman" w:cs="Times New Roman"/>
          <w:color w:val="000000"/>
          <w:sz w:val="24"/>
          <w:szCs w:val="24"/>
        </w:rPr>
        <w:t>5.1.14. Управление кантовкой шлаковых ковшей, подачей воды в грануляционные аппараты и пробивкой корки в ковшах должно быть дистанционным и производиться из пульта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5.1.15. Грануляционные бассейны должны быть ограждены перилами высотой не менее 1,1 м.</w:t>
      </w:r>
    </w:p>
    <w:p>
      <w:pPr>
        <w:spacing w:line="240" w:lineRule="auto"/>
        <w:rPr>
          <w:rFonts w:hAnsi="Times New Roman" w:cs="Times New Roman"/>
          <w:color w:val="000000"/>
          <w:sz w:val="24"/>
          <w:szCs w:val="24"/>
        </w:rPr>
      </w:pPr>
      <w:r>
        <w:rPr>
          <w:rFonts w:hAnsi="Times New Roman" w:cs="Times New Roman"/>
          <w:color w:val="000000"/>
          <w:sz w:val="24"/>
          <w:szCs w:val="24"/>
        </w:rPr>
        <w:t>5.1.16. Постановочные пути для вывоза гранулированного шлака должны оборудоваться лотками, обеспечивающими сток воды с просыпавшимся гранулированным шлаком обратно в грануляционный бассейн или сточные канавы, устроенные вдоль этих путей. Перемещение железнодорожных вагонов для погрузки гранулированного шлака вдоль грануляционного бассейна должно быть механизировано.</w:t>
      </w:r>
    </w:p>
    <w:p>
      <w:pPr>
        <w:spacing w:line="240" w:lineRule="auto"/>
        <w:rPr>
          <w:rFonts w:hAnsi="Times New Roman" w:cs="Times New Roman"/>
          <w:color w:val="000000"/>
          <w:sz w:val="24"/>
          <w:szCs w:val="24"/>
        </w:rPr>
      </w:pPr>
      <w:r>
        <w:rPr>
          <w:rFonts w:hAnsi="Times New Roman" w:cs="Times New Roman"/>
          <w:color w:val="000000"/>
          <w:sz w:val="24"/>
          <w:szCs w:val="24"/>
        </w:rPr>
        <w:t>5.1.17. Грейферные шлакоуборочные краны должны иметь автоматические устройства для подачи сигналов во время их передвижения.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5.1.18. Установки грануляции шлака должны быть оснащены приспособлениями, исключающими возможность попадания гранулированного шлака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5.1.19. Грануляция шлака, содержащего чугун,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5.1.20. Слив шлака в бассейн или камеру должен происходить медленно с оставлением на дне ковша части шлака.</w:t>
      </w:r>
    </w:p>
    <w:p>
      <w:pPr>
        <w:spacing w:line="240" w:lineRule="auto"/>
        <w:rPr>
          <w:rFonts w:hAnsi="Times New Roman" w:cs="Times New Roman"/>
          <w:color w:val="000000"/>
          <w:sz w:val="24"/>
          <w:szCs w:val="24"/>
        </w:rPr>
      </w:pPr>
      <w:r>
        <w:rPr>
          <w:rFonts w:hAnsi="Times New Roman" w:cs="Times New Roman"/>
          <w:color w:val="000000"/>
          <w:sz w:val="24"/>
          <w:szCs w:val="24"/>
        </w:rPr>
        <w:t>5.1.21. Проезд составов по путям для вывозки гранулированного шлака и маневрирование на этих путях во время слива шлака из ковшей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5.1.22. На время грануляции шлака шлакоуборочные краны должны находиться в конце крановой эстакады.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Необходимо следить за сигналами, предупреждающими возникновение опасности, соблюдать меры личной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5.2.2. Оборудование необходимо остановить при:</w:t>
      </w:r>
    </w:p>
    <w:p>
      <w:pPr>
        <w:spacing w:line="240" w:lineRule="auto"/>
        <w:rPr>
          <w:rFonts w:hAnsi="Times New Roman" w:cs="Times New Roman"/>
          <w:color w:val="000000"/>
          <w:sz w:val="24"/>
          <w:szCs w:val="24"/>
        </w:rPr>
      </w:pPr>
      <w:r>
        <w:rPr>
          <w:rFonts w:hAnsi="Times New Roman" w:cs="Times New Roman"/>
          <w:color w:val="000000"/>
          <w:sz w:val="24"/>
          <w:szCs w:val="24"/>
        </w:rPr>
        <w:t>угрозе аварии или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неисправной системе звуковой и световой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отключении освещения цеха;</w:t>
      </w:r>
    </w:p>
    <w:p>
      <w:pPr>
        <w:spacing w:line="240" w:lineRule="auto"/>
        <w:rPr>
          <w:rFonts w:hAnsi="Times New Roman" w:cs="Times New Roman"/>
          <w:color w:val="000000"/>
          <w:sz w:val="24"/>
          <w:szCs w:val="24"/>
        </w:rPr>
      </w:pPr>
      <w:r>
        <w:rPr>
          <w:rFonts w:hAnsi="Times New Roman" w:cs="Times New Roman"/>
          <w:color w:val="000000"/>
          <w:sz w:val="24"/>
          <w:szCs w:val="24"/>
        </w:rPr>
        <w:t>выявлении неисправностей оборудования, работа при которых запрещена правилами технической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угрозе аварии или несчастного случая необходимо остановить оборудование и сообщить об этом мастеру или начальнику цеха.</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пожара необходимо остановить оборудование, полностью обесточить установку, вызвать пожарную охрану, сообщить мастеру или начальнику цеха, принять меры к тушению очага возгорания имеющимися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До окончания смены произвести уборку рабочего места. Запрещается протирать перильные ограждения, рабочие площадки, ступени лестниц ветошью, смоченной горюче-смазочными материалами, а также производить уборку с помощью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7.3.2. Ручной инструмент и инвентарь привести в порядок, сложить в отведенном месте. Поврежденный в течение смены инструмент или инвентарь отремонтировать самостоятельно или сдать мастеру смены для ремонта.</w:t>
      </w:r>
    </w:p>
    <w:p>
      <w:pPr>
        <w:spacing w:line="240" w:lineRule="auto"/>
        <w:rPr>
          <w:rFonts w:hAnsi="Times New Roman" w:cs="Times New Roman"/>
          <w:color w:val="000000"/>
          <w:sz w:val="24"/>
          <w:szCs w:val="24"/>
        </w:rPr>
      </w:pPr>
      <w:r>
        <w:rPr>
          <w:rFonts w:hAnsi="Times New Roman" w:cs="Times New Roman"/>
          <w:color w:val="000000"/>
          <w:sz w:val="24"/>
          <w:szCs w:val="24"/>
        </w:rPr>
        <w:t>7.3.3. Использованный обтирочный материал сложить в предназначенное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35dd6c73c1547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