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парковочной системы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парковочной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парковочной системы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автомобили,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замасливания, увлажнения поверхности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(шлагбаума);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мониторами слежения);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мониторами слежения);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мониторами слежения);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 пониженная контрастность экрана монитора при неправильном выборе параметров (при работе с мониторами слежения);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пульсация светового потока (при работе с мониторами слежения);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прямая и отраженная блесткость (при работе с мониторами слежения);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информацию о количестве АТС, находящихся на парковке, а также о времени окончания их парковки.</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оборудования, инструмента,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асфальтового покрытия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Оператору парковки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процедур,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оператору парковки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Прекратить работу с использованием электрооборудования при: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постороннего шума, запаха гари, прекращении подачи электроэнергии;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защитного заземления;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нечеткой работе выключателя;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предохранительных и блокировочных устройств, крепежных устройств, ограждений и других средств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повреждении штепсельного соединения, изоляции кабеля;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открытых токоведущих частях;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на корпусе оборудования ощутимого электрического тока;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поломке или появлении трещин в корпусе машины (прибора).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контроле за соблюдением правил парковки АТС и обеспечении порядка и безопасности на территории парковки.</w:t>
      </w:r>
    </w:p>
    <w:p>
      <w:pPr>
        <w:spacing w:line="240" w:lineRule="auto"/>
        <w:rPr>
          <w:rFonts w:hAnsi="Times New Roman" w:cs="Times New Roman"/>
          <w:color w:val="000000"/>
          <w:sz w:val="24"/>
          <w:szCs w:val="24"/>
        </w:rPr>
      </w:pPr>
      <w:r>
        <w:rPr>
          <w:rFonts w:hAnsi="Times New Roman" w:cs="Times New Roman"/>
          <w:color w:val="000000"/>
          <w:sz w:val="24"/>
          <w:szCs w:val="24"/>
        </w:rPr>
        <w:t>5.1.9. Следить за тем, чтобы скорость перемещения АТС по территории парковки не превышала 5 км/ч.</w:t>
      </w:r>
    </w:p>
    <w:p>
      <w:pPr>
        <w:spacing w:line="240" w:lineRule="auto"/>
        <w:rPr>
          <w:rFonts w:hAnsi="Times New Roman" w:cs="Times New Roman"/>
          <w:color w:val="000000"/>
          <w:sz w:val="24"/>
          <w:szCs w:val="24"/>
        </w:rPr>
      </w:pPr>
      <w:r>
        <w:rPr>
          <w:rFonts w:hAnsi="Times New Roman" w:cs="Times New Roman"/>
          <w:color w:val="000000"/>
          <w:sz w:val="24"/>
          <w:szCs w:val="24"/>
        </w:rPr>
        <w:t>5.1.10. Осуществлять расстановку АТС только в соответствии с парковочными местами. Не загромождать проходы и проезды.</w:t>
      </w:r>
    </w:p>
    <w:p>
      <w:pPr>
        <w:spacing w:line="240" w:lineRule="auto"/>
        <w:rPr>
          <w:rFonts w:hAnsi="Times New Roman" w:cs="Times New Roman"/>
          <w:color w:val="000000"/>
          <w:sz w:val="24"/>
          <w:szCs w:val="24"/>
        </w:rPr>
      </w:pPr>
      <w:r>
        <w:rPr>
          <w:rFonts w:hAnsi="Times New Roman" w:cs="Times New Roman"/>
          <w:color w:val="000000"/>
          <w:sz w:val="24"/>
          <w:szCs w:val="24"/>
        </w:rPr>
        <w:t>5.1.11. Правильно подавать сигналы при установке АТС на парковку (при оказании помощи водителю по установке АТС на парковку).</w:t>
      </w:r>
    </w:p>
    <w:p>
      <w:pPr>
        <w:spacing w:line="240" w:lineRule="auto"/>
        <w:rPr>
          <w:rFonts w:hAnsi="Times New Roman" w:cs="Times New Roman"/>
          <w:color w:val="000000"/>
          <w:sz w:val="24"/>
          <w:szCs w:val="24"/>
        </w:rPr>
      </w:pPr>
      <w:r>
        <w:rPr>
          <w:rFonts w:hAnsi="Times New Roman" w:cs="Times New Roman"/>
          <w:color w:val="000000"/>
          <w:sz w:val="24"/>
          <w:szCs w:val="24"/>
        </w:rPr>
        <w:t>5.1.12. При следовании по территории парковки отслеживать передвижение АТС, избегать контакта с ними.</w:t>
      </w:r>
    </w:p>
    <w:p>
      <w:pPr>
        <w:spacing w:line="240" w:lineRule="auto"/>
        <w:rPr>
          <w:rFonts w:hAnsi="Times New Roman" w:cs="Times New Roman"/>
          <w:color w:val="000000"/>
          <w:sz w:val="24"/>
          <w:szCs w:val="24"/>
        </w:rPr>
      </w:pPr>
      <w:r>
        <w:rPr>
          <w:rFonts w:hAnsi="Times New Roman" w:cs="Times New Roman"/>
          <w:color w:val="000000"/>
          <w:sz w:val="24"/>
          <w:szCs w:val="24"/>
        </w:rPr>
        <w:t>5.1.13. Транспортные средства разрешается хранить в соответствии с утвержденной работодателем схемой расстановки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5.1.14. При хранении транспортных средств на открытых площадках: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площадки для хранения транспортных средств должны располагаться отдельно от производственных зданий и сооружений;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поверхность площадок должна регулярно очищаться: летом — от грязи, зимой — от снега и льда;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площадки для хранения транспортных средств должны иметь разметку, определяющую места установки транспортных средств и границы проездов;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расстояние между двумя параллельно стоящими транспортными средствами должно обеспечивать свободное открывание дверей кабин автотранспортных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5.1.15. В помещениях для хранения транспортных средств должна проводиться регулярная влажная уборка и очистка пола от остатков топливо-смазочных материалов. Температура в помещениях не должна быть ниже 5 °С.</w:t>
      </w:r>
    </w:p>
    <w:p>
      <w:pPr>
        <w:spacing w:line="240" w:lineRule="auto"/>
        <w:rPr>
          <w:rFonts w:hAnsi="Times New Roman" w:cs="Times New Roman"/>
          <w:color w:val="000000"/>
          <w:sz w:val="24"/>
          <w:szCs w:val="24"/>
        </w:rPr>
      </w:pPr>
      <w:r>
        <w:rPr>
          <w:rFonts w:hAnsi="Times New Roman" w:cs="Times New Roman"/>
          <w:color w:val="000000"/>
          <w:sz w:val="24"/>
          <w:szCs w:val="24"/>
        </w:rPr>
        <w:t>5.1.16. Ширина проезда между транспортными средствами в помещениях для стоянки должна быть достаточной для свободного въезда транспортного средства на закрепленное место (за один маневр), а расстояние от границы проезда до транспортного средства должно быть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5.1.17. Вдоль стен, у которых устанавливаются транспортные средства, должны предусматриваться колесоотбойные устройства, обеспечивающие расстояние не менее 0,3 м от крайней точки транспортного средства до стены либо до отступающего от стены конструктивно неподвижного элемента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5.1.18. На всех транспортных средствах, поставленных на место стоянки, должно быть выключено зажигание (подача топлива) и отключена масса (если имеется выключатель). Транспортные средства должны быть заторможены стояночными тормозами.</w:t>
      </w:r>
    </w:p>
    <w:p>
      <w:pPr>
        <w:spacing w:line="240" w:lineRule="auto"/>
        <w:rPr>
          <w:rFonts w:hAnsi="Times New Roman" w:cs="Times New Roman"/>
          <w:color w:val="000000"/>
          <w:sz w:val="24"/>
          <w:szCs w:val="24"/>
        </w:rPr>
      </w:pPr>
      <w:r>
        <w:rPr>
          <w:rFonts w:hAnsi="Times New Roman" w:cs="Times New Roman"/>
          <w:color w:val="000000"/>
          <w:sz w:val="24"/>
          <w:szCs w:val="24"/>
        </w:rPr>
        <w:t>5.1.19. При постановке транспортного средства, работающего на газовом топливе, на ночную или длительную стоянку необходимо закрыть расходные вентили, выработать оставшийся в магистрали газ до полной остановки двигателя, затем выключить зажигание, установить переключатель массы в положение «отключено», после чего закрыть механический магистральный вентиль (при его наличии).</w:t>
      </w:r>
    </w:p>
    <w:p>
      <w:pPr>
        <w:spacing w:line="240" w:lineRule="auto"/>
        <w:rPr>
          <w:rFonts w:hAnsi="Times New Roman" w:cs="Times New Roman"/>
          <w:color w:val="000000"/>
          <w:sz w:val="24"/>
          <w:szCs w:val="24"/>
        </w:rPr>
      </w:pPr>
      <w:r>
        <w:rPr>
          <w:rFonts w:hAnsi="Times New Roman" w:cs="Times New Roman"/>
          <w:color w:val="000000"/>
          <w:sz w:val="24"/>
          <w:szCs w:val="24"/>
        </w:rPr>
        <w:t>5.1.20. Транспортные средства, работающие на газовом топливе, разрешается ставить на стоянку в закрытое помещение при наличии в них герметичной газовой системы питания.</w:t>
      </w:r>
    </w:p>
    <w:p>
      <w:pPr>
        <w:spacing w:line="240" w:lineRule="auto"/>
        <w:rPr>
          <w:rFonts w:hAnsi="Times New Roman" w:cs="Times New Roman"/>
          <w:color w:val="000000"/>
          <w:sz w:val="24"/>
          <w:szCs w:val="24"/>
        </w:rPr>
      </w:pPr>
      <w:r>
        <w:rPr>
          <w:rFonts w:hAnsi="Times New Roman" w:cs="Times New Roman"/>
          <w:color w:val="000000"/>
          <w:sz w:val="24"/>
          <w:szCs w:val="24"/>
        </w:rPr>
        <w:t>Если в закрытом помещении находилось транспортное средство с негерметичной газовой системой питания, то после выезда транспортного средства помещение должно быть провентилировано.</w:t>
      </w:r>
    </w:p>
    <w:p>
      <w:pPr>
        <w:spacing w:line="240" w:lineRule="auto"/>
        <w:rPr>
          <w:rFonts w:hAnsi="Times New Roman" w:cs="Times New Roman"/>
          <w:color w:val="000000"/>
          <w:sz w:val="24"/>
          <w:szCs w:val="24"/>
        </w:rPr>
      </w:pPr>
      <w:r>
        <w:rPr>
          <w:rFonts w:hAnsi="Times New Roman" w:cs="Times New Roman"/>
          <w:color w:val="000000"/>
          <w:sz w:val="24"/>
          <w:szCs w:val="24"/>
        </w:rPr>
        <w:t>5.1.21. В многоэтажных гаражах транспортные средства, работающие на КПГ, должны размещаться выше транспортных средств, работающих на жидком топливе, а транспортные средства, работающие на ГСН, — ниже транспортных средств, работающих на жидком топливе.</w:t>
      </w:r>
    </w:p>
    <w:p>
      <w:pPr>
        <w:spacing w:line="240" w:lineRule="auto"/>
        <w:rPr>
          <w:rFonts w:hAnsi="Times New Roman" w:cs="Times New Roman"/>
          <w:color w:val="000000"/>
          <w:sz w:val="24"/>
          <w:szCs w:val="24"/>
        </w:rPr>
      </w:pPr>
      <w:r>
        <w:rPr>
          <w:rFonts w:hAnsi="Times New Roman" w:cs="Times New Roman"/>
          <w:color w:val="000000"/>
          <w:sz w:val="24"/>
          <w:szCs w:val="24"/>
        </w:rPr>
        <w:t>5.1.22. В помещениях, предназначенных для стоянки транспортных средств, а также на стоянках под навесом или на площадках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на площадках транспортные средства в количестве, превышающем предусмотренное проектной документацией, нарушать утвержденный план их расстановки, уменьшать установленное расстояние между транспортными средствами. План расстановки транспортных средств на площадках их хранения утверждается руководителем транспортного предприятия или должностным лицом, назначенным ответственным за расстановку приказом (распоряжением) руководителя;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выездные (въездные) ворота огороженных площадок, проезды и проходы;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 производить на площадках кузнечные, термические, сварочные, малярные и деревообрабатывающие работы, а также промывку деталей с использованием легковоспламеняющихся и горючих жидкостей;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на площадке транспортные средства с открытыми горловинами топливных баков, а также при обнаружении утечки топлива и масла;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транспортные средства топливом и сливать топливо из транспортных средств;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 тару из-под топлива и масла;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подогревать двигатели транспортных средств открытым огнем (костры, факелы, паяльные лампы), применять открытые источники огня для освещения;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совместное хранение транспортных средств, предназначенных для перевозки легковоспламеняющихся и горючих жидкостей, а также горючих газов, с другими транспортными средствами;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color w:val="000000"/>
          <w:sz w:val="24"/>
          <w:szCs w:val="24"/>
        </w:rPr>
        <w:t>5.1.23. При наблюдении за ситуацией на парковке по мониторам: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экран должен находиться ниже уровня глаз на 5 град. и располагаться в прямой плоскости или с наклоном на оператора (15 град.);</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от глаз до экрана должно быть в пределах 60–80 см;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 × 40 см, не создавать слепящих бликов на клавиатуре и других частях пульта, а также на экране видеотерминала в направлении глаз;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 во время которых осуществляется отдых;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течение рабочей смены экран дисплея должен быть не менее одного раза очищен от пыли.</w:t>
      </w:r>
    </w:p>
    <w:p>
      <w:pPr>
        <w:spacing w:line="240" w:lineRule="auto"/>
        <w:rPr>
          <w:rFonts w:hAnsi="Times New Roman" w:cs="Times New Roman"/>
          <w:color w:val="000000"/>
          <w:sz w:val="24"/>
          <w:szCs w:val="24"/>
        </w:rPr>
      </w:pPr>
      <w:r>
        <w:rPr>
          <w:rFonts w:hAnsi="Times New Roman" w:cs="Times New Roman"/>
          <w:color w:val="000000"/>
          <w:sz w:val="24"/>
          <w:szCs w:val="24"/>
        </w:rPr>
        <w:t>5.1.24. Регулировать визуальные параметры (яркость изображения и контрастность) от минимальных до максимальных значений с помощью специальных ручек на корпусах мониторов.</w:t>
      </w:r>
    </w:p>
    <w:p>
      <w:pPr>
        <w:spacing w:line="240" w:lineRule="auto"/>
        <w:rPr>
          <w:rFonts w:hAnsi="Times New Roman" w:cs="Times New Roman"/>
          <w:color w:val="000000"/>
          <w:sz w:val="24"/>
          <w:szCs w:val="24"/>
        </w:rPr>
      </w:pPr>
      <w:r>
        <w:rPr>
          <w:rFonts w:hAnsi="Times New Roman" w:cs="Times New Roman"/>
          <w:color w:val="000000"/>
          <w:sz w:val="24"/>
          <w:szCs w:val="24"/>
        </w:rPr>
        <w:t>5.1.25.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работе с ПЭВМ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5.1.27. При пользовании электроприборами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 п.), а также прикасаться к электрическим проводам, неизолированным и неогражденным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5.1.28.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5.1.29.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5.1.30.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5.1.31. Заметив нарушение требований охраны труда другим работником, оператору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5.1.32.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5.1.33.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5.1.34.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оператору парковки запрещается: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выполнению работ необученных и посторонних лиц;</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запуск на территорию парковки АТС при отсутствии парковочных мест;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установленный порядок расстановки АТС;</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необоснованное нахождение на территории парковки посторонних лиц;</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 территории парковки движение АТС с излишней скоростью;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 территории парковки умышленную парковку АТС с негерметичным топливным баком и двигателем;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 территории парковки ремонтные работы и проверку работы двигателя;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 территории парковки слив охлаждающей жидкости, ГСМ, масла;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 территории парковки заправку АТС и другие действия, кроме стоянки;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и инструмента. Ремонт должен проводить специалист;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руками неизолированных токоведущих частей и деталей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рабочее место, экраны мониторов бумагами и посторонними предметами;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воды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отключить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Обратить внимание на электрооборудование и электропроводку в помещении (наличие травмоопасных факторов). Закрыть окна, выключить свет.</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d20d8da0aed49a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