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работников, направляемых в служебную командировку</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Работники, направляемые в служебную командировку допускаются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психофизиологическое и умственное перенапряжение;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направлением в служебную командировку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командировочное задание у лица, уполномоченного выдавать разрешения на командирование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целевой инструктаж у лица, уполномоченного проводить целевой инструктаж при направлении работников в командировки;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документов, удостоверяющих личность работника, и в наличии у него адреса, телефонов ответственных работников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с персональным компьютером необходимо помнить о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4.4.2. Взаимное расположение компьютеров влияет на уровень генерируемых ими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4.4.3. Для обеспечения безопасности расстояние между компьютерами должно быть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4.4.4. Персональные компьютеры рекомендуется располагать таким образом, чтобы левая панель машины была обращена либо к стене, либо к проходу, где нет постоянных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4.4.5. Не следует располагать видеодисплейные терминалы экранами друг к другу.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Местная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5.1.1. Местной командировкой считается выполнение заданий организации в сторонних организациях, находящихся в пределах того же населенного пункта, в течение не более одного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5.1.2. Находясь на дорогах и улицах населенного пункта, командированный работник обязан соблюдать требования Правил дорожного движения, относящихся к пешеходам: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пешеходы должны двигаться по тротуарам или пешеходным дорожкам, а при их отсутствии – по обочинам;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тротуаров, 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населенных пунктов при движении по проезжей части пешеходы должны идти навстречу движению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 Пешеходы должны пересекать проезжую часть по пешеходным переходам, в том числе по подземным и надземным, а при отсутствии – на перекрестках по линии тротуаров или обочин.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pPr>
        <w:spacing w:line="240" w:lineRule="auto"/>
        <w:rPr>
          <w:rFonts w:hAnsi="Times New Roman" w:cs="Times New Roman"/>
          <w:color w:val="000000"/>
          <w:sz w:val="24"/>
          <w:szCs w:val="24"/>
        </w:rPr>
      </w:pPr>
      <w:r>
        <w:rPr>
          <w:rFonts w:hAnsi="Times New Roman" w:cs="Times New Roman"/>
          <w:color w:val="000000"/>
          <w:sz w:val="24"/>
          <w:szCs w:val="24"/>
        </w:rPr>
        <w:t>5.1.4.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5.1.5.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дорожной разметки.</w:t>
      </w:r>
    </w:p>
    <w:p>
      <w:pPr>
        <w:spacing w:line="240" w:lineRule="auto"/>
        <w:rPr>
          <w:rFonts w:hAnsi="Times New Roman" w:cs="Times New Roman"/>
          <w:color w:val="000000"/>
          <w:sz w:val="24"/>
          <w:szCs w:val="24"/>
        </w:rPr>
      </w:pPr>
      <w:r>
        <w:rPr>
          <w:rFonts w:hAnsi="Times New Roman" w:cs="Times New Roman"/>
          <w:color w:val="000000"/>
          <w:sz w:val="24"/>
          <w:szCs w:val="24"/>
        </w:rPr>
        <w:t>3.1.6. На нерегулируемых пешеходных переходах пешеходы могут выходить на проезжую часть лишь после того, как оценят расстояние до приближающихся транспортных средств, их скорость и убедятся, что переход будет для них безопасен.</w:t>
      </w:r>
    </w:p>
    <w:p>
      <w:pPr>
        <w:spacing w:line="240" w:lineRule="auto"/>
        <w:rPr>
          <w:rFonts w:hAnsi="Times New Roman" w:cs="Times New Roman"/>
          <w:color w:val="000000"/>
          <w:sz w:val="24"/>
          <w:szCs w:val="24"/>
        </w:rPr>
      </w:pPr>
      <w:r>
        <w:rPr>
          <w:rFonts w:hAnsi="Times New Roman" w:cs="Times New Roman"/>
          <w:color w:val="000000"/>
          <w:sz w:val="24"/>
          <w:szCs w:val="24"/>
        </w:rPr>
        <w:t>5.1.7. Выйдя на проезжую часть,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5.1.8.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тротуарах или обочине. На остановочных пунктах,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5.1.10. По прибытии в организацию командирования командированный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зарегистрировать время прибытия в организацию;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задание своей организации;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зарегистрировать время убытия из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Иногородняя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5.1.11. Иногородней командировкой считается служебная командировка для выполнения задания организации в сторонней организации, находящейся в другом населенном пункте, при условии следования к месту командировки и обратно на междугороднем общественном транспорте (автобус, электричка, поезд, самолет, маршрутное такси).</w:t>
      </w:r>
    </w:p>
    <w:p>
      <w:pPr>
        <w:spacing w:line="240" w:lineRule="auto"/>
        <w:rPr>
          <w:rFonts w:hAnsi="Times New Roman" w:cs="Times New Roman"/>
          <w:color w:val="000000"/>
          <w:sz w:val="24"/>
          <w:szCs w:val="24"/>
        </w:rPr>
      </w:pPr>
      <w:r>
        <w:rPr>
          <w:rFonts w:hAnsi="Times New Roman" w:cs="Times New Roman"/>
          <w:color w:val="000000"/>
          <w:sz w:val="24"/>
          <w:szCs w:val="24"/>
        </w:rPr>
        <w:t>5.1.12. 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 обслуживающих транспортное средство (проводника, водителя, машиниста, контролера и др.).</w:t>
      </w:r>
    </w:p>
    <w:p>
      <w:pPr>
        <w:spacing w:line="240" w:lineRule="auto"/>
        <w:rPr>
          <w:rFonts w:hAnsi="Times New Roman" w:cs="Times New Roman"/>
          <w:color w:val="000000"/>
          <w:sz w:val="24"/>
          <w:szCs w:val="24"/>
        </w:rPr>
      </w:pPr>
      <w:r>
        <w:rPr>
          <w:rFonts w:hAnsi="Times New Roman" w:cs="Times New Roman"/>
          <w:color w:val="000000"/>
          <w:sz w:val="24"/>
          <w:szCs w:val="24"/>
        </w:rPr>
        <w:t>5.1.13. Перед поездкой или в ходе нее работник обязан приобрести проездной билет.</w:t>
      </w:r>
    </w:p>
    <w:p>
      <w:pPr>
        <w:spacing w:line="240" w:lineRule="auto"/>
        <w:rPr>
          <w:rFonts w:hAnsi="Times New Roman" w:cs="Times New Roman"/>
          <w:color w:val="000000"/>
          <w:sz w:val="24"/>
          <w:szCs w:val="24"/>
        </w:rPr>
      </w:pPr>
      <w:r>
        <w:rPr>
          <w:rFonts w:hAnsi="Times New Roman" w:cs="Times New Roman"/>
          <w:color w:val="000000"/>
          <w:sz w:val="24"/>
          <w:szCs w:val="24"/>
        </w:rPr>
        <w:t>На транспорте, предоставленном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5.1.14. Служебной командировкой на транспорте организации считается направление работника в командировку на собственном или арендованном организацией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5.1.15. При направлении в служебную командировку водитель транспортного средства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удостоверения личности, водительского удостоверения, регистрационных документов на транспортное средство, путевого листа и документов на перевозимый груз;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автомобиль укомплектован инструментом, запасным колесом, буксирным тросом, домкратом, колесными упорами, огнетушителем, знаком аварийной остановки, фонарем, аптечкой первой помощи;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и получить отметку в путевом листе о допуске к рейсу.</w:t>
      </w:r>
    </w:p>
    <w:p>
      <w:pPr>
        <w:spacing w:line="240" w:lineRule="auto"/>
        <w:rPr>
          <w:rFonts w:hAnsi="Times New Roman" w:cs="Times New Roman"/>
          <w:color w:val="000000"/>
          <w:sz w:val="24"/>
          <w:szCs w:val="24"/>
        </w:rPr>
      </w:pPr>
      <w:r>
        <w:rPr>
          <w:rFonts w:hAnsi="Times New Roman" w:cs="Times New Roman"/>
          <w:color w:val="000000"/>
          <w:sz w:val="24"/>
          <w:szCs w:val="24"/>
        </w:rPr>
        <w:t>5.1.16. При направлении в служебную командировку на транспорте предприятия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вписана ли в путевой лист его фамилия;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поездке на транспортном средстве, оборудованном ремнями безопасности, быть пристегнутым ими;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посадку и высадку производить со стороны тротуара или обочины и только после полной остановки транспортного средства. Если посадка и высадка невозможны со стороны тротуара или обочины, они могут осуществляться со стороны проезжей части при условии,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следования в командировку на транспортном средстве организации работнику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водителя от управления транспортным средством во время его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высовываться из окна салона, выставлять руки и жестикулировать;</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двери транспортного средства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5.1.18. По прибытии в организацию командирования старший группы и водитель обязаны: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руководству организации о цели и сроках командировки;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удостоверение о проверке знаний по охране труда;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место и условия постановки на стоянку транспортного средства;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вводный инструктаж по охране труда, ознакомиться с Правилами внутреннего трудового распорядка организации пребывания, специфическими особенностями работы;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пройти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следует принять меры к отключению электронного оборудования от электрической сети, сообщить о пожаре в пожарную охрану и приступить к его тушению первичными средствами пожаротушения; при этом следует помнить, что для тушения оборудования, находящего под напряжением, необходимо применять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электронное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25ae1eceda45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