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спасателя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демеркуризации в зоне чрезвычайной ситуации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проведении демеркуризации в зоне чрезвычайной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проведении демеркуризации в зоне чрезвычайной ситуации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Принять специальное лечебно-профилактическое питание.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рабочее место, чтобы не было капелек ртути, а при ее обнаружении немедленно собрать грушей в тару с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Хранение ртути осуществляется на специальных складах, оборудованных в соответствии с требованиями, предъявляемыми к производственным помещениям, в воздухе которых возможно поступление паров ртути.</w:t>
      </w:r>
    </w:p>
    <w:p>
      <w:pPr>
        <w:spacing w:line="240" w:lineRule="auto"/>
        <w:rPr>
          <w:rFonts w:hAnsi="Times New Roman" w:cs="Times New Roman"/>
          <w:color w:val="000000"/>
          <w:sz w:val="24"/>
          <w:szCs w:val="24"/>
        </w:rPr>
      </w:pPr>
      <w:r>
        <w:rPr>
          <w:rFonts w:hAnsi="Times New Roman" w:cs="Times New Roman"/>
          <w:color w:val="000000"/>
          <w:sz w:val="24"/>
          <w:szCs w:val="24"/>
        </w:rPr>
        <w:t>5.1.2. Манипуляции с открытой ртутью следует проводить в хлорвиниловых перчатках над поддоном внутри вытяжного шкафа при работающей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металлической ртутью необходимо пользоваться толстостенной химико-аналитической посудой из небьющегося стекла.</w:t>
      </w:r>
    </w:p>
    <w:p>
      <w:pPr>
        <w:spacing w:line="240" w:lineRule="auto"/>
        <w:rPr>
          <w:rFonts w:hAnsi="Times New Roman" w:cs="Times New Roman"/>
          <w:color w:val="000000"/>
          <w:sz w:val="24"/>
          <w:szCs w:val="24"/>
        </w:rPr>
      </w:pPr>
      <w:r>
        <w:rPr>
          <w:rFonts w:hAnsi="Times New Roman" w:cs="Times New Roman"/>
          <w:color w:val="000000"/>
          <w:sz w:val="24"/>
          <w:szCs w:val="24"/>
        </w:rPr>
        <w:t>3.4. Отработанные растворы, содержащие ртуть, следует сливать через фарфоровую чашку большой емкости во избежание попадания капель ртути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5.1.5. Для утилизации брака и временного хранения освобожденных от ртути бракованных изделий должны быть выделены специальные помещения, связанные с основной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5.1.6. Площадь – не менее 4 м</w:t>
      </w:r>
      <w:r>
        <w:rPr>
          <w:rFonts w:hAnsi="Times New Roman" w:cs="Times New Roman"/>
          <w:color w:val="000000"/>
          <w:sz w:val="19"/>
          <w:szCs w:val="19"/>
          <w:vertAlign w:val="superscript"/>
        </w:rPr>
        <w:t>2</w:t>
      </w:r>
      <w:r>
        <w:rPr>
          <w:rFonts w:hAnsi="Times New Roman" w:cs="Times New Roman"/>
          <w:color w:val="000000"/>
          <w:sz w:val="24"/>
          <w:szCs w:val="24"/>
        </w:rPr>
        <w:t xml:space="preserve"> объемом не менее 15 м</w:t>
      </w:r>
      <w:r>
        <w:rPr>
          <w:rFonts w:hAnsi="Times New Roman" w:cs="Times New Roman"/>
          <w:color w:val="000000"/>
          <w:sz w:val="19"/>
          <w:szCs w:val="19"/>
          <w:vertAlign w:val="superscript"/>
        </w:rPr>
        <w:t>2</w:t>
      </w:r>
      <w:r>
        <w:rPr>
          <w:rFonts w:hAnsi="Times New Roman" w:cs="Times New Roman"/>
          <w:color w:val="000000"/>
          <w:sz w:val="24"/>
          <w:szCs w:val="24"/>
        </w:rPr>
        <w:t xml:space="preserve"> на одного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5.1.7. Рабочие, занятые уничтожением бракованных изделий, аппаратуры, должны быть обеспечены спецодеждой, спецобувью.</w:t>
      </w:r>
    </w:p>
    <w:p>
      <w:pPr>
        <w:spacing w:line="240" w:lineRule="auto"/>
        <w:rPr>
          <w:rFonts w:hAnsi="Times New Roman" w:cs="Times New Roman"/>
          <w:color w:val="000000"/>
          <w:sz w:val="24"/>
          <w:szCs w:val="24"/>
        </w:rPr>
      </w:pPr>
      <w:r>
        <w:rPr>
          <w:rFonts w:hAnsi="Times New Roman" w:cs="Times New Roman"/>
          <w:color w:val="000000"/>
          <w:sz w:val="24"/>
          <w:szCs w:val="24"/>
        </w:rPr>
        <w:t>5.1.8. При наличии на поверхности видимой ртути или ее соединений используется механический метод. Первоначально осуществляется сбор видимой ртути с помощью вакуума или амальгированными медными пластинами. После удаления видимой ртути поверхность подвергается гидроструйной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5.1.9. Химическая демеркуризация осуществляется путем обработки оборудования, очищенного от видимой ртути, продуктов коррозии и старых антикоррозионных покрытий, растворами окислителей, легко окисляющих ртуть, но не разрушающих конструкционные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5.1.10. Выбор демеркуризирующих растворов определяется материалом, из которого изготовлено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Для проведения химической демеркуризации используются следующие химические растворы: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раствор перманганата кальция — 2—6 г на 1 л плюс 40—60 г серной кислоты на 1 л воды (спичечный коробок перманганата кальция плюс 0,5 л серной кислоты на ведро воды);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раствор хлорного железа — 150—200 г на 1 л воды;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раствор перманганата кальция — 2—6 г на 1 л воды плюс азотная кислота 65—75 процентов.</w:t>
      </w:r>
    </w:p>
    <w:p>
      <w:pPr>
        <w:spacing w:line="240" w:lineRule="auto"/>
        <w:rPr>
          <w:rFonts w:hAnsi="Times New Roman" w:cs="Times New Roman"/>
          <w:color w:val="000000"/>
          <w:sz w:val="24"/>
          <w:szCs w:val="24"/>
        </w:rPr>
      </w:pPr>
      <w:r>
        <w:rPr>
          <w:rFonts w:hAnsi="Times New Roman" w:cs="Times New Roman"/>
          <w:b/>
          <w:bCs/>
          <w:color w:val="000000"/>
          <w:sz w:val="24"/>
          <w:szCs w:val="24"/>
        </w:rPr>
        <w:t>Проведение работ по демеркуризации при обнаружении ртути в жилых секторах населенных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5.1.13. Место, где обнаружена ртуть, необходимо оградить и не допускать к месту разлива ртути граждан, особенно детей.</w:t>
      </w:r>
    </w:p>
    <w:p>
      <w:pPr>
        <w:spacing w:line="240" w:lineRule="auto"/>
        <w:rPr>
          <w:rFonts w:hAnsi="Times New Roman" w:cs="Times New Roman"/>
          <w:color w:val="000000"/>
          <w:sz w:val="24"/>
          <w:szCs w:val="24"/>
        </w:rPr>
      </w:pPr>
      <w:r>
        <w:rPr>
          <w:rFonts w:hAnsi="Times New Roman" w:cs="Times New Roman"/>
          <w:color w:val="000000"/>
          <w:sz w:val="24"/>
          <w:szCs w:val="24"/>
        </w:rPr>
        <w:t>5.1.14. Демеркуризация проводится в следующем порядке: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демеркуризацию проводит специалист, знающий технологию проведения таких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пролитую ртуть собирают сначала кисточкой в бумажный конверт, затем влажной фильтровальной бумагой;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щелях — кусочками проволоки или кисточками из амальгамирующихся металлов;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собранную ртуть и использованные бумагу и проволоку помещают в герметичную емкость;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затем, чтобы обезвредить остатки ртути, помещение обрабатывают химическими веществами, реагирующими с металлической ртутью с образованием оксидов или нелетучих растворимых соединений (солей ртути), и затем смывают эти соли. Самые простые составы для демеркуризации, доступные в быту, — водный раствор 0,2-процентного перманганата калия KMnO</w:t>
      </w:r>
      <w:r>
        <w:rPr>
          <w:rFonts w:hAnsi="Times New Roman" w:cs="Times New Roman"/>
          <w:color w:val="000000"/>
          <w:sz w:val="19"/>
          <w:szCs w:val="19"/>
          <w:vertAlign w:val="subscript"/>
        </w:rPr>
        <w:t>4</w:t>
      </w:r>
      <w:r>
        <w:rPr>
          <w:rFonts w:hAnsi="Times New Roman" w:cs="Times New Roman"/>
          <w:color w:val="000000"/>
          <w:sz w:val="24"/>
          <w:szCs w:val="24"/>
        </w:rPr>
        <w:t xml:space="preserve"> с добавлением 0,5-процентной соляной кислоты HCl. Один из наиболее эффективных составов — 20-процентный водный раствор хлорного железа FeCl</w:t>
      </w:r>
      <w:r>
        <w:rPr>
          <w:rFonts w:hAnsi="Times New Roman" w:cs="Times New Roman"/>
          <w:color w:val="000000"/>
          <w:sz w:val="19"/>
          <w:szCs w:val="19"/>
          <w:vertAlign w:val="sub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отравление.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Запрещается собирать разлитую ртуть веником и совком.</w:t>
      </w:r>
    </w:p>
    <w:p>
      <w:pPr>
        <w:spacing w:line="240" w:lineRule="auto"/>
        <w:rPr>
          <w:rFonts w:hAnsi="Times New Roman" w:cs="Times New Roman"/>
          <w:color w:val="000000"/>
          <w:sz w:val="24"/>
          <w:szCs w:val="24"/>
        </w:rPr>
      </w:pPr>
      <w:r>
        <w:rPr>
          <w:rFonts w:hAnsi="Times New Roman" w:cs="Times New Roman"/>
          <w:color w:val="000000"/>
          <w:sz w:val="24"/>
          <w:szCs w:val="24"/>
        </w:rPr>
        <w:t>6.3.2. Разлитую ртуть должен собрать и провести демеркуризацию специалист, хорошо знакомый с этими обязанностями, или работники санэпиднадзора.</w:t>
      </w:r>
    </w:p>
    <w:p>
      <w:pPr>
        <w:spacing w:line="240" w:lineRule="auto"/>
        <w:rPr>
          <w:rFonts w:hAnsi="Times New Roman" w:cs="Times New Roman"/>
          <w:color w:val="000000"/>
          <w:sz w:val="24"/>
          <w:szCs w:val="24"/>
        </w:rPr>
      </w:pPr>
      <w:r>
        <w:rPr>
          <w:rFonts w:hAnsi="Times New Roman" w:cs="Times New Roman"/>
          <w:color w:val="000000"/>
          <w:sz w:val="24"/>
          <w:szCs w:val="24"/>
        </w:rPr>
        <w:t>6.3.3. После проведения демеркуризационных работ в обязательном порядке берется анализ воздушной среды на содержание паров ртути.</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возгорания необходимо немедленно сообщить в пожарную охрану по телефону 101, сообщить руководству и приступить к тушению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87b9bef9ae4b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