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спасателя при учебно-тренировочных занятиях и выполнении высотно-спасательных работ с применением канатного способа, с применением альпинистской техники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спасателя при учебно-тренировочных занятиях и выполнении высотно-спасательных работ с применением канатного способа, с применением альпинистской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работе на высоте,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спасателем при учебно-тренировочных занятиях и выполнении высотно-спасательных работ с применением канатного способа, с применением альпинистской техники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относительно поверхности земли (пола, перекрытия) и связанное с этим возможное падение работника или падение предметов на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(лестницы, стремянки, леса, подмости и другое вспомогательное оборудование);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(вследствие обледенения, увлажнения, замасливания поверхностей грунта, пола, трапов, стремянок, лестниц, лесов, подмостей и т. п.);</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ветра (при работе на открытом воздухе);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 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рабочих мест;физические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 исправность электрической розетки и других электроустановочных изделий;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что корпус включаемого оборудования не поврежден, что на нем не находятся предметы, бумага и т. п. Вентиляционные отверстия в корпусе включаемого оборудования не должны быть перекрыты каким-либо способом.</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аптечки первой медицинской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проведением занятий на учебной башне верхний слой предохранительной подушки необходимо взрыхлить. Обновление предохранительной подушки производится не реже одного раза в год и оформляется актом.</w:t>
      </w:r>
    </w:p>
    <w:p>
      <w:pPr>
        <w:spacing w:line="240" w:lineRule="auto"/>
        <w:rPr>
          <w:rFonts w:hAnsi="Times New Roman" w:cs="Times New Roman"/>
          <w:color w:val="000000"/>
          <w:sz w:val="24"/>
          <w:szCs w:val="24"/>
        </w:rPr>
      </w:pPr>
      <w:r>
        <w:rPr>
          <w:rFonts w:hAnsi="Times New Roman" w:cs="Times New Roman"/>
          <w:color w:val="000000"/>
          <w:sz w:val="24"/>
          <w:szCs w:val="24"/>
        </w:rPr>
        <w:t>4.4.2. Страхующие устройства учебных башен перед использованием подвергаются проверке: замок должен прочно удерживать веревку и после снятия нагрузки на нем должны отсутствовать повреждения и заметная остаточная деформация.</w:t>
      </w:r>
    </w:p>
    <w:p>
      <w:pPr>
        <w:spacing w:line="240" w:lineRule="auto"/>
        <w:rPr>
          <w:rFonts w:hAnsi="Times New Roman" w:cs="Times New Roman"/>
          <w:color w:val="000000"/>
          <w:sz w:val="24"/>
          <w:szCs w:val="24"/>
        </w:rPr>
      </w:pPr>
      <w:r>
        <w:rPr>
          <w:rFonts w:hAnsi="Times New Roman" w:cs="Times New Roman"/>
          <w:color w:val="000000"/>
          <w:sz w:val="24"/>
          <w:szCs w:val="24"/>
        </w:rPr>
        <w:t>4.4.3. Крепление пожарных рукавов обеспечивается приспособлениями, позволяющими простое и быстрое их закрепление и освобождение, а также исключающими самопроизвольное падение пожарных рукавов вниз.</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использовать учебные башни для хранения оборудования и различных предметов, кроме пожарных рукавов, подвешенных для сушки.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Для подъема и спуска работника по вертикальной (более 70° к горизонту) и наклонной (более 30° к горизонту) плоскостям, а также выполнения работ в состоянии подвеса в безопорном пространстве применяется система канатного доступа, состоящая из анкерных(ого) устройств(а) и соединительной подсистемы (гибкая или жесткая анкерная линия, стропы, канаты, карабины, устройство для спуска, устройство для подъема, устройства для позиционирования).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5.1.2. Работы с использованием систем канатного доступа производятся с использованием страховочной системы, состоящей из анкерного устройства, страховочной привязи, соединительной подсистемы (гибкая или жесткая анкерная линия, амортизатор, стропы, канаты, карабины).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использование одного каната одновременно для страховочной системы и для системы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5.1.3. Система канатного доступа и страховочная система должны иметь отдельные анкерные устройства. Структурный анкер в случае закрепления системы канатного доступа к нему должен выдерживать максимальную нагрузку, указанную изготовителями компонентов данной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5.1.4. В местах, где канат может быть поврежден или защемлен, нужно использовать защиту каната.</w:t>
      </w:r>
    </w:p>
    <w:p>
      <w:pPr>
        <w:spacing w:line="240" w:lineRule="auto"/>
        <w:rPr>
          <w:rFonts w:hAnsi="Times New Roman" w:cs="Times New Roman"/>
          <w:color w:val="000000"/>
          <w:sz w:val="24"/>
          <w:szCs w:val="24"/>
        </w:rPr>
      </w:pPr>
      <w:r>
        <w:rPr>
          <w:rFonts w:hAnsi="Times New Roman" w:cs="Times New Roman"/>
          <w:color w:val="000000"/>
          <w:sz w:val="24"/>
          <w:szCs w:val="24"/>
        </w:rPr>
        <w:t>5.1.5. Все закрепленные одним концом канаты (гибкие анкерные линии) должны иметь конечные ограничители, например, узел, во избежание возможности при спуске миновать конец каната. В соответствии с рекомендациями изготовителей СИЗ ограничитель на канате может быть совмещен с утяжелителем.</w:t>
      </w:r>
    </w:p>
    <w:p>
      <w:pPr>
        <w:spacing w:line="240" w:lineRule="auto"/>
        <w:rPr>
          <w:rFonts w:hAnsi="Times New Roman" w:cs="Times New Roman"/>
          <w:color w:val="000000"/>
          <w:sz w:val="24"/>
          <w:szCs w:val="24"/>
        </w:rPr>
      </w:pPr>
      <w:r>
        <w:rPr>
          <w:rFonts w:hAnsi="Times New Roman" w:cs="Times New Roman"/>
          <w:color w:val="000000"/>
          <w:sz w:val="24"/>
          <w:szCs w:val="24"/>
        </w:rPr>
        <w:t>5.1.6. Использование узлов для крепления соединительной подсистемы к анкерному устройству в системах канатного доступа недопустимо. Узлы, используемые для подвешивания инструмента, инвентаря, приспособлений и материалов, а также применяемые на канатах оттяжки, должны быть указаны в технологической карте или ППР на высоте и не должны непреднамеренно распускаться или развязываться.</w:t>
      </w:r>
    </w:p>
    <w:p>
      <w:pPr>
        <w:spacing w:line="240" w:lineRule="auto"/>
        <w:rPr>
          <w:rFonts w:hAnsi="Times New Roman" w:cs="Times New Roman"/>
          <w:color w:val="000000"/>
          <w:sz w:val="24"/>
          <w:szCs w:val="24"/>
        </w:rPr>
      </w:pPr>
      <w:r>
        <w:rPr>
          <w:rFonts w:hAnsi="Times New Roman" w:cs="Times New Roman"/>
          <w:color w:val="000000"/>
          <w:sz w:val="24"/>
          <w:szCs w:val="24"/>
        </w:rPr>
        <w:t>5.1.7. В исключительных случаях (экстренная эвакуация, угроза жизни), принимая во внимание оценку рисков падения с высоты, может быть дано разрешение использовать только один канат для одновременного использования в системе канатного доступа и страховочной системе.</w:t>
      </w:r>
    </w:p>
    <w:p>
      <w:pPr>
        <w:spacing w:line="240" w:lineRule="auto"/>
        <w:rPr>
          <w:rFonts w:hAnsi="Times New Roman" w:cs="Times New Roman"/>
          <w:color w:val="000000"/>
          <w:sz w:val="24"/>
          <w:szCs w:val="24"/>
        </w:rPr>
      </w:pPr>
      <w:r>
        <w:rPr>
          <w:rFonts w:hAnsi="Times New Roman" w:cs="Times New Roman"/>
          <w:color w:val="000000"/>
          <w:sz w:val="24"/>
          <w:szCs w:val="24"/>
        </w:rPr>
        <w:t>5.1.8. При продолжительности работы с использованием системы канатного доступа более 30 минут должно использоваться рабочее сиденье.</w:t>
      </w:r>
    </w:p>
    <w:p>
      <w:pPr>
        <w:spacing w:line="240" w:lineRule="auto"/>
        <w:rPr>
          <w:rFonts w:hAnsi="Times New Roman" w:cs="Times New Roman"/>
          <w:color w:val="000000"/>
          <w:sz w:val="24"/>
          <w:szCs w:val="24"/>
        </w:rPr>
      </w:pPr>
      <w:r>
        <w:rPr>
          <w:rFonts w:hAnsi="Times New Roman" w:cs="Times New Roman"/>
          <w:color w:val="000000"/>
          <w:sz w:val="24"/>
          <w:szCs w:val="24"/>
        </w:rPr>
        <w:t>5.1.9. Рабочее сиденье, конструктивно не входящее в состав страховочной привязи, может предусматривать регулируемую по высоте опору для ног (подножку).</w:t>
      </w:r>
    </w:p>
    <w:p>
      <w:pPr>
        <w:spacing w:line="240" w:lineRule="auto"/>
        <w:rPr>
          <w:rFonts w:hAnsi="Times New Roman" w:cs="Times New Roman"/>
          <w:color w:val="000000"/>
          <w:sz w:val="24"/>
          <w:szCs w:val="24"/>
        </w:rPr>
      </w:pPr>
      <w:r>
        <w:rPr>
          <w:rFonts w:hAnsi="Times New Roman" w:cs="Times New Roman"/>
          <w:color w:val="000000"/>
          <w:sz w:val="24"/>
          <w:szCs w:val="24"/>
        </w:rPr>
        <w:t>5.1.10. В системах канатного доступа преимущественно применяются канаты с сердечником низкого растяжения, изготовленные из синтетических волокон. Допускается использование стальных канатов с использованием соответствующих устройств для позиционирования, для подъема и спуска.</w:t>
      </w:r>
    </w:p>
    <w:p>
      <w:pPr>
        <w:spacing w:line="240" w:lineRule="auto"/>
        <w:rPr>
          <w:rFonts w:hAnsi="Times New Roman" w:cs="Times New Roman"/>
          <w:color w:val="000000"/>
          <w:sz w:val="24"/>
          <w:szCs w:val="24"/>
        </w:rPr>
      </w:pPr>
      <w:r>
        <w:rPr>
          <w:rFonts w:hAnsi="Times New Roman" w:cs="Times New Roman"/>
          <w:color w:val="000000"/>
          <w:sz w:val="24"/>
          <w:szCs w:val="24"/>
        </w:rPr>
        <w:t>5.1.11. Длина канатов, применяемых как в системе канатного доступа, так и в совместно используемой с ней страховочной системе, а также способы увеличения их длины, необходимой для выполнения работ, определяются в технологической карте или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5.1.12. Все виды тренировок (занятий) выполняются личным составом в специальной защитной одежде и снаряжении и с использованием СИЗОД, а при необходимости — в теплоотражательных костюмах. Личный состав, не имеющий соответствующего допуска к работе в СИЗОД, к тренировкам (занятиям)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5.1.13. Перед началом тренировок (занятий) руководителем тренировки (занятия) предусматриваются следующие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1) опрос личного состава пожарной охраны о состоянии здоровья;</w:t>
      </w:r>
    </w:p>
    <w:p>
      <w:pPr>
        <w:spacing w:line="240" w:lineRule="auto"/>
        <w:rPr>
          <w:rFonts w:hAnsi="Times New Roman" w:cs="Times New Roman"/>
          <w:color w:val="000000"/>
          <w:sz w:val="24"/>
          <w:szCs w:val="24"/>
        </w:rPr>
      </w:pPr>
      <w:r>
        <w:rPr>
          <w:rFonts w:hAnsi="Times New Roman" w:cs="Times New Roman"/>
          <w:color w:val="000000"/>
          <w:sz w:val="24"/>
          <w:szCs w:val="24"/>
        </w:rPr>
        <w:t>2) проведение инструктажа личного состава пожарной охраны о порядке выполнения упражнений на снаряде;</w:t>
      </w:r>
    </w:p>
    <w:p>
      <w:pPr>
        <w:spacing w:line="240" w:lineRule="auto"/>
        <w:rPr>
          <w:rFonts w:hAnsi="Times New Roman" w:cs="Times New Roman"/>
          <w:color w:val="000000"/>
          <w:sz w:val="24"/>
          <w:szCs w:val="24"/>
        </w:rPr>
      </w:pPr>
      <w:r>
        <w:rPr>
          <w:rFonts w:hAnsi="Times New Roman" w:cs="Times New Roman"/>
          <w:color w:val="000000"/>
          <w:sz w:val="24"/>
          <w:szCs w:val="24"/>
        </w:rPr>
        <w:t>3) определение единого сигнала оповещения личного состава пожарной охраны об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 проверка работоспособности и исправности всех элементов полигона и аварийных систем;</w:t>
      </w:r>
    </w:p>
    <w:p>
      <w:pPr>
        <w:spacing w:line="240" w:lineRule="auto"/>
        <w:rPr>
          <w:rFonts w:hAnsi="Times New Roman" w:cs="Times New Roman"/>
          <w:color w:val="000000"/>
          <w:sz w:val="24"/>
          <w:szCs w:val="24"/>
        </w:rPr>
      </w:pPr>
      <w:r>
        <w:rPr>
          <w:rFonts w:hAnsi="Times New Roman" w:cs="Times New Roman"/>
          <w:color w:val="000000"/>
          <w:sz w:val="24"/>
          <w:szCs w:val="24"/>
        </w:rPr>
        <w:t>5) проверка исправности снаряжения личного состава, в том числе СИЗОД.</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проведение тренировок (занятий) на огневом полигоне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2) допуск на огневой полигон посторонних лиц без сопровождения.</w:t>
      </w:r>
    </w:p>
    <w:p>
      <w:pPr>
        <w:spacing w:line="240" w:lineRule="auto"/>
        <w:rPr>
          <w:rFonts w:hAnsi="Times New Roman" w:cs="Times New Roman"/>
          <w:color w:val="000000"/>
          <w:sz w:val="24"/>
          <w:szCs w:val="24"/>
        </w:rPr>
      </w:pPr>
      <w:r>
        <w:rPr>
          <w:rFonts w:hAnsi="Times New Roman" w:cs="Times New Roman"/>
          <w:color w:val="000000"/>
          <w:sz w:val="24"/>
          <w:szCs w:val="24"/>
        </w:rPr>
        <w:t>Территория, на которой расположен огневой полигон, ограждается.</w:t>
      </w:r>
    </w:p>
    <w:p>
      <w:pPr>
        <w:spacing w:line="240" w:lineRule="auto"/>
        <w:rPr>
          <w:rFonts w:hAnsi="Times New Roman" w:cs="Times New Roman"/>
          <w:color w:val="000000"/>
          <w:sz w:val="24"/>
          <w:szCs w:val="24"/>
        </w:rPr>
      </w:pPr>
      <w:r>
        <w:rPr>
          <w:rFonts w:hAnsi="Times New Roman" w:cs="Times New Roman"/>
          <w:color w:val="000000"/>
          <w:sz w:val="24"/>
          <w:szCs w:val="24"/>
        </w:rPr>
        <w:t>5.1.14. Для имитации опасных факторов пожара разрешается применять нетоксичные огнеопасные жидкости или горючие газы, использовать в качестве средств горения и задымления отходы, пропитанные горючими жидкостями, а также нетоксичные средства имитации дыма.</w:t>
      </w:r>
    </w:p>
    <w:p>
      <w:pPr>
        <w:spacing w:line="240" w:lineRule="auto"/>
        <w:rPr>
          <w:rFonts w:hAnsi="Times New Roman" w:cs="Times New Roman"/>
          <w:color w:val="000000"/>
          <w:sz w:val="24"/>
          <w:szCs w:val="24"/>
        </w:rPr>
      </w:pPr>
      <w:r>
        <w:rPr>
          <w:rFonts w:hAnsi="Times New Roman" w:cs="Times New Roman"/>
          <w:color w:val="000000"/>
          <w:sz w:val="24"/>
          <w:szCs w:val="24"/>
        </w:rPr>
        <w:t>5.1.15. Не допускается растекание горючих жидкостей на путях передвижения личного состава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5.1.16. Наполнение оборудования и лотков нефтепродуктами производится после их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Розжиг горючих жидкостей производится:</w:t>
      </w:r>
    </w:p>
    <w:p>
      <w:pPr>
        <w:spacing w:line="240" w:lineRule="auto"/>
        <w:rPr>
          <w:rFonts w:hAnsi="Times New Roman" w:cs="Times New Roman"/>
          <w:color w:val="000000"/>
          <w:sz w:val="24"/>
          <w:szCs w:val="24"/>
        </w:rPr>
      </w:pPr>
      <w:r>
        <w:rPr>
          <w:rFonts w:hAnsi="Times New Roman" w:cs="Times New Roman"/>
          <w:color w:val="000000"/>
          <w:sz w:val="24"/>
          <w:szCs w:val="24"/>
        </w:rPr>
        <w:t>1) на технологическом оборудовании огневого полигона (тренажера) — с использованием дистанционной системы разового или многоразового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2) на снарядах огневой полосы психологической подготовки пожарных — с использованием специальных факелов длиной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5.1.17. Зоны огня и высокой температуры преодолеваются личным составом пожарной охраны быстро, в зоне видимости друг друга, без глубоких вдохов. Первым следует командир звена ГДЗС, а замыкающим — наиболее опытный сотрудник (работник) из числа личного состава пожарной охраны, который назначается командиром звена.</w:t>
      </w:r>
    </w:p>
    <w:p>
      <w:pPr>
        <w:spacing w:line="240" w:lineRule="auto"/>
        <w:rPr>
          <w:rFonts w:hAnsi="Times New Roman" w:cs="Times New Roman"/>
          <w:color w:val="000000"/>
          <w:sz w:val="24"/>
          <w:szCs w:val="24"/>
        </w:rPr>
      </w:pPr>
      <w:r>
        <w:rPr>
          <w:rFonts w:hAnsi="Times New Roman" w:cs="Times New Roman"/>
          <w:color w:val="000000"/>
          <w:sz w:val="24"/>
          <w:szCs w:val="24"/>
        </w:rPr>
        <w:t>5.1.18. При проведении тренировок около снарядов и препятствий с применением открытого огня с целью безопасности выставляются посты на пожарной автоцистерне. От пожарной автоцистерны прокладываются пожарные рукавные линии с ручными пожарными стволами по одной к каждому снаряду и препятствию, при этом пожарные рукавные линии заполняются водой, двигатель и насос пожарной автоцистерны должны работать на холостом ходу.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поражении электрическим током необходимо немедленно освободить пострадавшего от действия тока, соблюдая требования электробезопасности, оказать первую помощь и вызвать работника медицинской службы,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пожаре немедленно сообщить о пожаре, приступить к эвакуации людей, пожарной техники, материальных ценностей, произвести отключение электроэнергии, приступить к тушению очага пожара с использованием первичных средств пожаротушения, пожарных кранов внутреннего противопожарного водопровода, других средств 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двигатели, механизмы, закрепить неустойчивые конструкции, сложить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4dc1b27eaa34e9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