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специалиста по связям с общественностью</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специалиста по связям с общественностью.</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специалистом по связям с общественностью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психофизиологическое и умственное перенапряжение (например, при поиске причин ошибок, сбоев, остановок машин, что требует анализа многочисленных вариантов, выбора в уме различных альтернатив);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 (например, при работе за экраном дисплея);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 что может привести к статическим перегрузкам;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ионизирующие и неионизирующие излучения (мягкое рентгеновское, ультрафиолетовое, видимое, ближнее инфракрасное, радиочастотного диапазона), источниками которого являются видеодисплейные терминалы;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электростатическое поле;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неудовлетворительные микроклиматические условия;– недостаточная освещенность рабочего места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специалисту следует обратить внимание на рациональную организацию рабочего места, подготовить необходимый инструмент, приспособления и проверить их работу.</w:t>
      </w:r>
    </w:p>
    <w:p>
      <w:pPr>
        <w:spacing w:line="240" w:lineRule="auto"/>
        <w:rPr>
          <w:rFonts w:hAnsi="Times New Roman" w:cs="Times New Roman"/>
          <w:color w:val="000000"/>
          <w:sz w:val="24"/>
          <w:szCs w:val="24"/>
        </w:rPr>
      </w:pPr>
      <w:r>
        <w:rPr>
          <w:rFonts w:hAnsi="Times New Roman" w:cs="Times New Roman"/>
          <w:color w:val="000000"/>
          <w:sz w:val="24"/>
          <w:szCs w:val="24"/>
        </w:rPr>
        <w:t>4.1.2. Перед включением электронной аппаратуры в электрическую сеть специалисту следует визуально проверить исправность розетки, вилки, а также электрических шнуров и кабелей, используемых для питания машин и соединения между собой всех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выполнения работ по техническому обслуживанию и ремонту электронного оборудования специалисту следует предпринять необходимые меры, обеспечивающие безопасность труда, в том числе меры электробезопасности, к которым относится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4.1.4. Выполнить необходимые отключения и принять меры, препятствующие ошибочному или самопроизвольному включению электронного оборудования во время его технического обслуживания или ремонта.</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отсутствие напряжения на токоведущих частях электронного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4.1.6. При необходимости оградить токоведущие части, оставшиеся под напряжением, и установить предупреждающие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4.1.7. Специалист должен лично убедиться в том, что все меры, необходимые для обеспечения безопасности работающих, выполнены; при возникновении сомнений в достаточности и правильности принятых мер и в возможности безопасного выполнения работы специалист не должен приступать к работе.</w:t>
      </w:r>
    </w:p>
    <w:p>
      <w:pPr>
        <w:spacing w:line="240" w:lineRule="auto"/>
        <w:rPr>
          <w:rFonts w:hAnsi="Times New Roman" w:cs="Times New Roman"/>
          <w:color w:val="000000"/>
          <w:sz w:val="24"/>
          <w:szCs w:val="24"/>
        </w:rPr>
      </w:pPr>
      <w:r>
        <w:rPr>
          <w:rFonts w:hAnsi="Times New Roman" w:cs="Times New Roman"/>
          <w:color w:val="000000"/>
          <w:sz w:val="24"/>
          <w:szCs w:val="24"/>
        </w:rPr>
        <w:t>4.1.8. Специалист перед началом работы должен проверить наличие и исправность всех необходимых электрозащитных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с персональным компьютером специалист должен помнить о следующем:</w:t>
      </w:r>
    </w:p>
    <w:p>
      <w:pPr>
        <w:spacing w:line="240" w:lineRule="auto"/>
        <w:rPr>
          <w:rFonts w:hAnsi="Times New Roman" w:cs="Times New Roman"/>
          <w:color w:val="000000"/>
          <w:sz w:val="24"/>
          <w:szCs w:val="24"/>
        </w:rPr>
      </w:pPr>
      <w:r>
        <w:rPr>
          <w:rFonts w:hAnsi="Times New Roman" w:cs="Times New Roman"/>
          <w:color w:val="000000"/>
          <w:sz w:val="24"/>
          <w:szCs w:val="24"/>
        </w:rPr>
        <w:t>4.4.2. Взаимное расположение компьютеров влияет на уровень генерируемых ими электромагнитных излучений.</w:t>
      </w:r>
    </w:p>
    <w:p>
      <w:pPr>
        <w:spacing w:line="240" w:lineRule="auto"/>
        <w:rPr>
          <w:rFonts w:hAnsi="Times New Roman" w:cs="Times New Roman"/>
          <w:color w:val="000000"/>
          <w:sz w:val="24"/>
          <w:szCs w:val="24"/>
        </w:rPr>
      </w:pPr>
      <w:r>
        <w:rPr>
          <w:rFonts w:hAnsi="Times New Roman" w:cs="Times New Roman"/>
          <w:color w:val="000000"/>
          <w:sz w:val="24"/>
          <w:szCs w:val="24"/>
        </w:rPr>
        <w:t>4.4.3. Для обеспечения безопасности расстояние между компьютерами должно быть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4.4.4. Персональные компьютеры рекомендуется располагать таким образом, чтобы левая панель машины была обращена либо к стене, либо к проходу, где нет постоянных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4.4.5. Не следует располагать видеодисплейные терминалы экранами друг к другу.</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по эксплуатационно-техническому обслуживанию, профилактическим проверкам, текущему ремонту электронного оборудования следует руководствоваться эксплуатационной документацией (в том числе инструкциями по эксплуатации) фирм-изготовителей.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5.1.2. Для подключения электронного оборудования к электрической сети следует применять фирменный шнур питания, поставляемый в комплекте с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5.1.3. При техническом обслуживании и ремонте электронного оборудования с применением электрозащитных средств (например, указателя напряжения, ручного инструмента и т. п.) специалист не должен приближаться к токоведущим частям на расстояние меньше длины изолирующей части этих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5.1.4. Проверять отсутствие напряжения следует указателем напряжения заводского изготовления, исправность которого должна быть проверена перед его использованием.</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электронным оборудованием следует применять ручной инструмент только с изолирующими ручками; у отверток, кроме того, должен быть изолирован стержень.</w:t>
      </w:r>
    </w:p>
    <w:p>
      <w:pPr>
        <w:spacing w:line="240" w:lineRule="auto"/>
        <w:rPr>
          <w:rFonts w:hAnsi="Times New Roman" w:cs="Times New Roman"/>
          <w:color w:val="000000"/>
          <w:sz w:val="24"/>
          <w:szCs w:val="24"/>
        </w:rPr>
      </w:pPr>
      <w:r>
        <w:rPr>
          <w:rFonts w:hAnsi="Times New Roman" w:cs="Times New Roman"/>
          <w:color w:val="000000"/>
          <w:sz w:val="24"/>
          <w:szCs w:val="24"/>
        </w:rPr>
        <w:t>5.1.6. При необходимости выполнения работ без снятия напряжения и при использовании изолирующих средств защиты специалист должен помнить и выполнять следующие правила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изолирующие части средств защиты можно только за рукоятки до ограничительного кольца.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Располагать изолирующие части средств защиты следует таким образом, чтобы не возникла опасность перекрытия по поверхности изоляции между токоведущими частями проводов или замыкания на землю.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Следует пользоваться только сухими и чистыми изолирующими частями средств защиты с неповрежденным лаковым покрытием.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обнаружении нарушения целостности лакового покрытия или других неисправностей изолирующих частей средств защиты пользование ими должно быть прекращено.</w:t>
      </w:r>
    </w:p>
    <w:p>
      <w:pPr>
        <w:spacing w:line="240" w:lineRule="auto"/>
        <w:rPr>
          <w:rFonts w:hAnsi="Times New Roman" w:cs="Times New Roman"/>
          <w:color w:val="000000"/>
          <w:sz w:val="24"/>
          <w:szCs w:val="24"/>
        </w:rPr>
      </w:pPr>
      <w:r>
        <w:rPr>
          <w:rFonts w:hAnsi="Times New Roman" w:cs="Times New Roman"/>
          <w:color w:val="000000"/>
          <w:sz w:val="24"/>
          <w:szCs w:val="24"/>
        </w:rPr>
        <w:t>5.1.7. Во избежание случаев электротравматизма не допускается оставлять неизолированные концы проводов после демонтажа узлов электронного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5.1.8. При необходимости выполнения пайки проводов или деталей с использованием оловянно-свинцовых припоев типа ПОС, специалист должен иметь в виду и соблюдать следующие меры предосторожности: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Поскольку припои типа ПОС содержат в своем составе свинец, следует помнить о том, что при этом одежда, кожа рук загрязняются парами свинца, что может привести (при количествах, превышающих ПДК) к свинцовым отравлениям организма.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предотвращения ожогов лица и глаз отлетевшими частицами расплавленного припоя следует пользоваться пинцетом для поддерживания припаиваемых проводов, деталей.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избежание возникновения пожара следует соблюдать осторожность при работе с электрическим паяльником и пользоваться специальными подставками.</w:t>
      </w:r>
    </w:p>
    <w:p>
      <w:pPr>
        <w:spacing w:line="240" w:lineRule="auto"/>
        <w:rPr>
          <w:rFonts w:hAnsi="Times New Roman" w:cs="Times New Roman"/>
          <w:color w:val="000000"/>
          <w:sz w:val="24"/>
          <w:szCs w:val="24"/>
        </w:rPr>
      </w:pPr>
      <w:r>
        <w:rPr>
          <w:rFonts w:hAnsi="Times New Roman" w:cs="Times New Roman"/>
          <w:color w:val="000000"/>
          <w:sz w:val="24"/>
          <w:szCs w:val="24"/>
        </w:rPr>
        <w:t>5.1.9. Если в процессе работы понадобилось использовать ручной электроинструмент, то в этом случае необходимо знать и выполнять следующие основные меры электробезопасности: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Провода или кабели ручного электроинструмента должны по возможности подвешиваться.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предупреждения возможности замыканий непосредственное соприкосновение проводов и кабелей с металлическими, горячими и влажными поверхностями или предметами не допускается.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каких-либо неисправностей работа ручным электроинструментом должна быть немедленно прекращена.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случае внезапного прекращения подачи электроэнергии во время работы электроинструмента или во время перерыва в работе его следует отсоединить от питающей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5.1.10. Специалист должен знать о том, что рациональная организация рабочего места способствует уменьшению утомляемости, повышению работоспособности, а также снижению вероятности травматизма.</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видеотерминальными устройствами специалисту следует знать следующие основные требования к организации рабочего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помощи поворотного устройства монитор должен быть отрегулирован в соответствии с рабочей позой специалиста.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Плоскость рабочего стола должна быть регулируемой по высоте в пределах 680–800 мм с учетом индивидуальных особенностей специалиста; при отсутствии такой возможности высота стола должна быть не менее 725 мм.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Рабочий стол должен иметь пространство для ног высотой не менее 600 мм, шириной – не менее 500 мм, глубиной на уровне колен – не менее 450 мм и на уровне вытянутых ног – не менее 650 мм.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Конструкция рабочего стула (кресла) должна обеспечивать: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ширину и глубину поверхности сиденья не менее 400 мм;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поверхность сиденья с закругленным передним краем;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регулировку высоты поверхности сиденья в пределах 400–550 мм и углам наклона вперед до 15° и назад до 5°;</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высоту опорной поверхности спинки 300±20 мм, ширину – не менее 380 мм и радиус кривизны горизонтальной плоскости – 400 мм;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угол наклона спинки в вертикальной плоскости в пределах 0±30°;</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регулировку расстояния спинки от переднего края сиденья в пределах 260–400 мм;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стационарные или съемные подлокотники длиной не менее 250 мм и шириной – 50–70 мм;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регулировку подлокотников по высоте над сиденьем в пределах 230±30 мм и внутреннего расстояния между подлокотниками в пределах 350–500 мм.</w:t>
      </w:r>
    </w:p>
    <w:p>
      <w:pPr>
        <w:spacing w:line="240" w:lineRule="auto"/>
        <w:rPr>
          <w:rFonts w:hAnsi="Times New Roman" w:cs="Times New Roman"/>
          <w:color w:val="000000"/>
          <w:sz w:val="24"/>
          <w:szCs w:val="24"/>
        </w:rPr>
      </w:pPr>
      <w:r>
        <w:rPr>
          <w:rFonts w:hAnsi="Times New Roman" w:cs="Times New Roman"/>
          <w:color w:val="000000"/>
          <w:sz w:val="24"/>
          <w:szCs w:val="24"/>
        </w:rPr>
        <w:t>Экран видеомонитора должен находиться от глаз специалиста на оптимальном расстоянии 600–700 мм, но не ближе 500 мм с учетом размеров алфавитно-цифровых знаков и символов.</w:t>
      </w:r>
    </w:p>
    <w:p>
      <w:pPr>
        <w:spacing w:line="240" w:lineRule="auto"/>
        <w:rPr>
          <w:rFonts w:hAnsi="Times New Roman" w:cs="Times New Roman"/>
          <w:color w:val="000000"/>
          <w:sz w:val="24"/>
          <w:szCs w:val="24"/>
        </w:rPr>
      </w:pPr>
      <w:r>
        <w:rPr>
          <w:rFonts w:hAnsi="Times New Roman" w:cs="Times New Roman"/>
          <w:color w:val="000000"/>
          <w:sz w:val="24"/>
          <w:szCs w:val="24"/>
        </w:rPr>
        <w:t>Клавиатуру следует располагать на поверхности стола на расстоянии 100–300 мм от края, обращенного к пользователю, или на специальной, регулируемой по высоте рабочей поверхности, отделенной от основной столешницы.</w:t>
      </w:r>
    </w:p>
    <w:p>
      <w:pPr>
        <w:spacing w:line="240" w:lineRule="auto"/>
        <w:rPr>
          <w:rFonts w:hAnsi="Times New Roman" w:cs="Times New Roman"/>
          <w:color w:val="000000"/>
          <w:sz w:val="24"/>
          <w:szCs w:val="24"/>
        </w:rPr>
      </w:pPr>
      <w:r>
        <w:rPr>
          <w:rFonts w:hAnsi="Times New Roman" w:cs="Times New Roman"/>
          <w:color w:val="000000"/>
          <w:sz w:val="24"/>
          <w:szCs w:val="24"/>
        </w:rPr>
        <w:t>5.1.12. Для уменьшения напряжения зрения следует установить на экране оптимальный цветовой режим (если такая возможность имеется); при этом рекомендуются ненасыщенные цвета: светло-зеленый, желто-зеленый, желто-оранжевый, желто-коричневый; по возможности следует избегать насыщенных цветов, особенно красного, синего, ярко-зеленого.</w:t>
      </w:r>
    </w:p>
    <w:p>
      <w:pPr>
        <w:spacing w:line="240" w:lineRule="auto"/>
        <w:rPr>
          <w:rFonts w:hAnsi="Times New Roman" w:cs="Times New Roman"/>
          <w:color w:val="000000"/>
          <w:sz w:val="24"/>
          <w:szCs w:val="24"/>
        </w:rPr>
      </w:pPr>
      <w:r>
        <w:rPr>
          <w:rFonts w:hAnsi="Times New Roman" w:cs="Times New Roman"/>
          <w:color w:val="000000"/>
          <w:sz w:val="24"/>
          <w:szCs w:val="24"/>
        </w:rPr>
        <w:t>5.1.13. Для уменьшения зрительной утомляемости рекомендуется работать в таком режиме, чтобы на светлом экране видеотерминального устройства были темные символы.</w:t>
      </w:r>
    </w:p>
    <w:p>
      <w:pPr>
        <w:spacing w:line="240" w:lineRule="auto"/>
        <w:rPr>
          <w:rFonts w:hAnsi="Times New Roman" w:cs="Times New Roman"/>
          <w:color w:val="000000"/>
          <w:sz w:val="24"/>
          <w:szCs w:val="24"/>
        </w:rPr>
      </w:pPr>
      <w:r>
        <w:rPr>
          <w:rFonts w:hAnsi="Times New Roman" w:cs="Times New Roman"/>
          <w:color w:val="000000"/>
          <w:sz w:val="24"/>
          <w:szCs w:val="24"/>
        </w:rPr>
        <w:t>5.1.14. С целью снижения зрительного и костно-мышечного утомления специалисту следует соблюдать установленный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5.1.15. Для обеспечения оптимальной работоспособности и сохранения здоровья на протяжении рабочей смены должны быть установлены регламентированные перерывы.</w:t>
      </w:r>
    </w:p>
    <w:p>
      <w:pPr>
        <w:spacing w:line="240" w:lineRule="auto"/>
        <w:rPr>
          <w:rFonts w:hAnsi="Times New Roman" w:cs="Times New Roman"/>
          <w:color w:val="000000"/>
          <w:sz w:val="24"/>
          <w:szCs w:val="24"/>
        </w:rPr>
      </w:pPr>
      <w:r>
        <w:rPr>
          <w:rFonts w:hAnsi="Times New Roman" w:cs="Times New Roman"/>
          <w:color w:val="000000"/>
          <w:sz w:val="24"/>
          <w:szCs w:val="24"/>
        </w:rPr>
        <w:t>5.1.16. Время регламентированных перерывов в течение рабочей смены следует устанавливать в зависимости от ее продолжительности, вида и категории трудовой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5.1.17. Продолжительность непрерывной работы с видеомонитором без регламентированного перерыва не должна превышать 2 часов.</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с персональным компьютером в ночную смену (с 22 до 6 часов), независимо от категории и вида трудовой деятельности, продолжительность регламентированных перерывов должна быть увеличена на 60 минут.</w:t>
      </w:r>
    </w:p>
    <w:p>
      <w:pPr>
        <w:spacing w:line="240" w:lineRule="auto"/>
        <w:rPr>
          <w:rFonts w:hAnsi="Times New Roman" w:cs="Times New Roman"/>
          <w:color w:val="000000"/>
          <w:sz w:val="24"/>
          <w:szCs w:val="24"/>
        </w:rPr>
      </w:pPr>
      <w:r>
        <w:rPr>
          <w:rFonts w:hAnsi="Times New Roman" w:cs="Times New Roman"/>
          <w:color w:val="000000"/>
          <w:sz w:val="24"/>
          <w:szCs w:val="24"/>
        </w:rPr>
        <w:t>5.1.19. Для снятия зрительного и позотонического напряжения специалисту, работающему на персональном компьютере, в процессе работы следует устраивать микропаузы продолжительностью 1–3 минуты.</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регламентированных перерывов с целью снижения нервно-эмоционального напряжения, утомления зрительного анализатора, устранения влияния гиподинамии и гипокинезии, предотвращения развития позотонического утомления специалисту, работающему на персональном компьютере, рекомендуется выполнять специальные комплексы физических упражнений.</w:t>
      </w:r>
    </w:p>
    <w:p>
      <w:pPr>
        <w:spacing w:line="240" w:lineRule="auto"/>
        <w:rPr>
          <w:rFonts w:hAnsi="Times New Roman" w:cs="Times New Roman"/>
          <w:color w:val="000000"/>
          <w:sz w:val="24"/>
          <w:szCs w:val="24"/>
        </w:rPr>
      </w:pPr>
      <w:r>
        <w:rPr>
          <w:rFonts w:hAnsi="Times New Roman" w:cs="Times New Roman"/>
          <w:color w:val="000000"/>
          <w:sz w:val="24"/>
          <w:szCs w:val="24"/>
        </w:rPr>
        <w:t>5.1.21. С целью уменьшения отрицательного влияния монотонии целесообразно применять чередование операций осмысленного текста и числовых данных (изменение содержания работ), чередование редактирования текстов и ввода данных (изменение содержания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5.1.22. Специалисту, работающему на персональном компьютере с высоким уровнем напряженности, во время регламентированных перерывов и в конце рабочего дня рекомендуется психологическая разгрузка в специально оборудованном помещении (комнате психологической разгрузки).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пожара специалисту следует принять меры к отключению электронного оборудования от электрической сети, сообщить о пожаре в пожарную охрану и приступить к его тушению первичными средствами пожаротушения; при этом следует помнить, что для тушения оборудования, находящего под напряжением, необходимо применять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специалисту следует отключить электронное оборудование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Инструмент и приспособления почистить и сложить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7">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8">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9">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3a2052369884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