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трансформации Арены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трансформации Арены.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Трудовой кодекс Российской Федерации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w:t>
      </w:r>
      <w:r>
        <w:rPr>
          <w:rFonts w:hAnsi="Times New Roman" w:cs="Times New Roman"/>
          <w:color w:val="000000"/>
          <w:sz w:val="24"/>
          <w:szCs w:val="24"/>
        </w:rPr>
        <w:t>от 29.10.2021 № 772н</w:t>
      </w:r>
      <w:r>
        <w:rPr>
          <w:rFonts w:hAnsi="Times New Roman" w:cs="Times New Roman"/>
          <w:color w:val="000000"/>
          <w:sz w:val="24"/>
          <w:szCs w:val="24"/>
        </w:rPr>
        <w:t>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трансформации Арены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подъемно-транспортные устройства, вращающиеся и перемещающиеся приспособления;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статистические и динамические нагрузки;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 любым</w:t>
      </w:r>
      <w:r>
        <w:rPr>
          <w:rFonts w:hAnsi="Times New Roman" w:cs="Times New Roman"/>
          <w:color w:val="000000"/>
          <w:sz w:val="24"/>
          <w:szCs w:val="24"/>
        </w:rPr>
        <w:t xml:space="preserve">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4.2.4.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4.2.5. Проходы не должны быть загромождены.</w:t>
      </w:r>
    </w:p>
    <w:p>
      <w:pPr>
        <w:spacing w:line="240" w:lineRule="auto"/>
        <w:rPr>
          <w:rFonts w:hAnsi="Times New Roman" w:cs="Times New Roman"/>
          <w:color w:val="000000"/>
          <w:sz w:val="24"/>
          <w:szCs w:val="24"/>
        </w:rPr>
      </w:pPr>
      <w:r>
        <w:rPr>
          <w:rFonts w:hAnsi="Times New Roman" w:cs="Times New Roman"/>
          <w:color w:val="000000"/>
          <w:sz w:val="24"/>
          <w:szCs w:val="24"/>
        </w:rPr>
        <w:t>4.2.6.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4.2.7.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Деревянные и металлические конструкции сцен должны соответствовать требованиям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 Сварные соединения не должны иметь изломов, смещений кромок соединяемых элементов, трещин, наплывов, прожогов, незаваренных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5.1.3. Выступающие металлические части должны быть без острых углов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5.1.4. Покрытие станков с уклоном более 15° снабжается поперечными рейками, резиновыми полосами или другими приспособлениями, предохраняющими от скольжения. Если в случае с художественными задачами невозможно применение данных приспособлений и при подъеме и спуске по наклонной плоскости возникают риски падения, разрабатываются варианты устойчивого перемещения артиста (в том числе специальная обувь), которые отражаются в инструкции по безопасному проведению мизансцен, в соответствии с которыми впоследствии производится инструктаж с артистами.</w:t>
      </w:r>
    </w:p>
    <w:p>
      <w:pPr>
        <w:spacing w:line="240" w:lineRule="auto"/>
        <w:rPr>
          <w:rFonts w:hAnsi="Times New Roman" w:cs="Times New Roman"/>
          <w:color w:val="000000"/>
          <w:sz w:val="24"/>
          <w:szCs w:val="24"/>
        </w:rPr>
      </w:pPr>
      <w:r>
        <w:rPr>
          <w:rFonts w:hAnsi="Times New Roman" w:cs="Times New Roman"/>
          <w:color w:val="000000"/>
          <w:sz w:val="24"/>
          <w:szCs w:val="24"/>
        </w:rPr>
        <w:t>5.1.6. Станок, рабочая часть которого выступает за габариты опоры, рассчитывается на устойчивость. Коэффициент устойчивости должен быть не менее 2.</w:t>
      </w:r>
    </w:p>
    <w:p>
      <w:pPr>
        <w:spacing w:line="240" w:lineRule="auto"/>
        <w:rPr>
          <w:rFonts w:hAnsi="Times New Roman" w:cs="Times New Roman"/>
          <w:color w:val="000000"/>
          <w:sz w:val="24"/>
          <w:szCs w:val="24"/>
        </w:rPr>
      </w:pPr>
      <w:r>
        <w:rPr>
          <w:rFonts w:hAnsi="Times New Roman" w:cs="Times New Roman"/>
          <w:color w:val="000000"/>
          <w:sz w:val="24"/>
          <w:szCs w:val="24"/>
        </w:rPr>
        <w:t>5.1.7. Станки, используемые в качестве опоры для накидных лестниц, должны рассчитываться на устойчивость. Коэффициент устойчивости принимается не менее 2.</w:t>
      </w:r>
    </w:p>
    <w:p>
      <w:pPr>
        <w:spacing w:line="240" w:lineRule="auto"/>
        <w:rPr>
          <w:rFonts w:hAnsi="Times New Roman" w:cs="Times New Roman"/>
          <w:color w:val="000000"/>
          <w:sz w:val="24"/>
          <w:szCs w:val="24"/>
        </w:rPr>
      </w:pPr>
      <w:r>
        <w:rPr>
          <w:rFonts w:hAnsi="Times New Roman" w:cs="Times New Roman"/>
          <w:color w:val="000000"/>
          <w:sz w:val="24"/>
          <w:szCs w:val="24"/>
        </w:rPr>
        <w:t>5.1.8. Соединение сборно-разборных станков должно быть не допускающим их случайного разъединения.</w:t>
      </w:r>
    </w:p>
    <w:p>
      <w:pPr>
        <w:spacing w:line="240" w:lineRule="auto"/>
        <w:rPr>
          <w:rFonts w:hAnsi="Times New Roman" w:cs="Times New Roman"/>
          <w:color w:val="000000"/>
          <w:sz w:val="24"/>
          <w:szCs w:val="24"/>
        </w:rPr>
      </w:pPr>
      <w:r>
        <w:rPr>
          <w:rFonts w:hAnsi="Times New Roman" w:cs="Times New Roman"/>
          <w:color w:val="000000"/>
          <w:sz w:val="24"/>
          <w:szCs w:val="24"/>
        </w:rPr>
        <w:t>5.1.9. При установке станков и пандусов на фурке и прочих подвижных поверхностях должна быть обеспечена устойчивость сборки и исключена возможность смещения.</w:t>
      </w:r>
    </w:p>
    <w:p>
      <w:pPr>
        <w:spacing w:line="240" w:lineRule="auto"/>
        <w:rPr>
          <w:rFonts w:hAnsi="Times New Roman" w:cs="Times New Roman"/>
          <w:color w:val="000000"/>
          <w:sz w:val="24"/>
          <w:szCs w:val="24"/>
        </w:rPr>
      </w:pPr>
      <w:r>
        <w:rPr>
          <w:rFonts w:hAnsi="Times New Roman" w:cs="Times New Roman"/>
          <w:color w:val="000000"/>
          <w:sz w:val="24"/>
          <w:szCs w:val="24"/>
        </w:rPr>
        <w:t>5.1.10. Конструкция лестниц должна быть жесткой и устойчивой.</w:t>
      </w:r>
    </w:p>
    <w:p>
      <w:pPr>
        <w:spacing w:line="240" w:lineRule="auto"/>
        <w:rPr>
          <w:rFonts w:hAnsi="Times New Roman" w:cs="Times New Roman"/>
          <w:color w:val="000000"/>
          <w:sz w:val="24"/>
          <w:szCs w:val="24"/>
        </w:rPr>
      </w:pPr>
      <w:r>
        <w:rPr>
          <w:rFonts w:hAnsi="Times New Roman" w:cs="Times New Roman"/>
          <w:color w:val="000000"/>
          <w:sz w:val="24"/>
          <w:szCs w:val="24"/>
        </w:rPr>
        <w:t>5.1.11. Опорная плита накладного круга должна опираться на несущие элементы перекрытия планшета и прочно закрепляться. Крепление направляющих для катков (колес) на планшете сцены, эстрады должно исключать их смещение во время вращения круга.</w:t>
      </w:r>
    </w:p>
    <w:p>
      <w:pPr>
        <w:spacing w:line="240" w:lineRule="auto"/>
        <w:rPr>
          <w:rFonts w:hAnsi="Times New Roman" w:cs="Times New Roman"/>
          <w:color w:val="000000"/>
          <w:sz w:val="24"/>
          <w:szCs w:val="24"/>
        </w:rPr>
      </w:pPr>
      <w:r>
        <w:rPr>
          <w:rFonts w:hAnsi="Times New Roman" w:cs="Times New Roman"/>
          <w:color w:val="000000"/>
          <w:sz w:val="24"/>
          <w:szCs w:val="24"/>
        </w:rPr>
        <w:t>5.1.12. Настил круга должен крепиться к каркасу круга.</w:t>
      </w:r>
    </w:p>
    <w:p>
      <w:pPr>
        <w:spacing w:line="240" w:lineRule="auto"/>
        <w:rPr>
          <w:rFonts w:hAnsi="Times New Roman" w:cs="Times New Roman"/>
          <w:color w:val="000000"/>
          <w:sz w:val="24"/>
          <w:szCs w:val="24"/>
        </w:rPr>
      </w:pPr>
      <w:r>
        <w:rPr>
          <w:rFonts w:hAnsi="Times New Roman" w:cs="Times New Roman"/>
          <w:color w:val="000000"/>
          <w:sz w:val="24"/>
          <w:szCs w:val="24"/>
        </w:rPr>
        <w:t>5.1.13. Конструкция фурки должна обеспечивать равномерное распределение нагрузки на все опоры (ходовые ролики) фурки.</w:t>
      </w:r>
    </w:p>
    <w:p>
      <w:pPr>
        <w:spacing w:line="240" w:lineRule="auto"/>
        <w:rPr>
          <w:rFonts w:hAnsi="Times New Roman" w:cs="Times New Roman"/>
          <w:color w:val="000000"/>
          <w:sz w:val="24"/>
          <w:szCs w:val="24"/>
        </w:rPr>
      </w:pPr>
      <w:r>
        <w:rPr>
          <w:rFonts w:hAnsi="Times New Roman" w:cs="Times New Roman"/>
          <w:color w:val="000000"/>
          <w:sz w:val="24"/>
          <w:szCs w:val="24"/>
        </w:rPr>
        <w:t>5.1.14. При движении фурок по направляющим последние должны прочно крепиться к планшету. Зазоры и неровности в стыках направляющих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5.1.15. Транспортер, применяемый на сцене, должен быть изготовлен не кустарным способом, а в соответствии с проектной документацией, разработанной в соответствии с техническим заданием.</w:t>
      </w:r>
    </w:p>
    <w:p>
      <w:pPr>
        <w:spacing w:line="240" w:lineRule="auto"/>
        <w:rPr>
          <w:rFonts w:hAnsi="Times New Roman" w:cs="Times New Roman"/>
          <w:color w:val="000000"/>
          <w:sz w:val="24"/>
          <w:szCs w:val="24"/>
        </w:rPr>
      </w:pPr>
      <w:r>
        <w:rPr>
          <w:rFonts w:hAnsi="Times New Roman" w:cs="Times New Roman"/>
          <w:color w:val="000000"/>
          <w:sz w:val="24"/>
          <w:szCs w:val="24"/>
        </w:rPr>
        <w:t>5.1.16. Работнику, пользующемуся грузоподъемной машиной, не разрешается допускать посторонних лиц на рабочую площадку, а также передавать управление грузоподъемной машиной другим работникам без разрешения инженерно-технического работника, ответственного за производство работ с кранами.</w:t>
      </w:r>
    </w:p>
    <w:p>
      <w:pPr>
        <w:spacing w:line="240" w:lineRule="auto"/>
        <w:rPr>
          <w:rFonts w:hAnsi="Times New Roman" w:cs="Times New Roman"/>
          <w:color w:val="000000"/>
          <w:sz w:val="24"/>
          <w:szCs w:val="24"/>
        </w:rPr>
      </w:pPr>
      <w:r>
        <w:rPr>
          <w:rFonts w:hAnsi="Times New Roman" w:cs="Times New Roman"/>
          <w:color w:val="000000"/>
          <w:sz w:val="24"/>
          <w:szCs w:val="24"/>
        </w:rPr>
        <w:t>5.1.17. Прежде чем начать работать на грузоподъемной машине, следует убедиться в том, что в зоне работы нет посторонних.</w:t>
      </w:r>
    </w:p>
    <w:p>
      <w:pPr>
        <w:spacing w:line="240" w:lineRule="auto"/>
        <w:rPr>
          <w:rFonts w:hAnsi="Times New Roman" w:cs="Times New Roman"/>
          <w:color w:val="000000"/>
          <w:sz w:val="24"/>
          <w:szCs w:val="24"/>
        </w:rPr>
      </w:pPr>
      <w:r>
        <w:rPr>
          <w:rFonts w:hAnsi="Times New Roman" w:cs="Times New Roman"/>
          <w:color w:val="000000"/>
          <w:sz w:val="24"/>
          <w:szCs w:val="24"/>
        </w:rPr>
        <w:t>5.1.18. Подъем груза следует производить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допускается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5.1.20. Работника, пользующегося грузоподъемной машиной, следует уведомить письменно о допуске персонала (работников) на рабочую площадку для производства ремонтных или других работ по наряду-допуску, определяющему условия безопасного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производстве работ работнику, пользующемуся грузоподъемной машиной, необходимо руководствоваться следующими правилами: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сигнал «Стоп» независимо от того, кто его подаст;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или опусканием груза следует предупредить всех находящихся на месте ведения работ о необходимости ухода из зоны перемещения груза и возможного груза. Перемещение груза допускается производить только при отсутствии работников в зоне работы грузоподъемной машины;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транспортных средств поднимать и опускать груз допускается только при отсутствии работников на транспортных средствах, в чем работник должен предварительно убедиться;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крюк подъемного механизма следует устанавливать непосредственно над грузом так, чтобы при подъеме груза исключить наклонное положение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следует предварительно поднять его на высоту не более 200–300 мм, чтобы убедиться в правильности строповки, надежности крепления груза, после чего допускается производить его подъем на нужную высоту;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в горизонтальном направлении грузы или грузозахватные приспособления следует предварительно приподнять на 500 мм выше встречающихся на пути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груза, находящегося вблизи стены, колонны, штабеля, железнодорожного вагона, автомашины, станка или другого оборудования, следует предварительно убедиться в отсутствии работников между перемещаемым грузом и вагонами, стенами, колоннами и другими сооружениями;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мелкоштучные грузы следует перемещать в специально предназначенной для этого таре. При этом должна исключаться возможность выпадения отдельных грузов;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груза из колодца, канавы, траншеи, котлована и т. п. и перед опусканием груза следует путем опускания свободного (ненагруженного) крюка предварительно убедиться в том, что при его низшем положении на барабане остаются навитыми не менее полутора витков, не считая витков, находящихся под зажимным устройством;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укладку и разборку груза следует производить равномерно, не нарушая установленные для складирования грузов габариты и не загромождая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одновременном действии нескольких талей на одном крановом пути во избежание их столкновения необходимо соблюдать меры безопасности, изложенные в проекте производства работ или технологической карте;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крюк неработающего грузового механизма всегда необходимо поднять в верхнее положение;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масса которого неизвестна, должно производиться только после определения его фактической массы;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длинномерных и крупногабаритных грузов их следует направлять при помощи крюков или оттяжек;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строповку грузов следует производить в соответствии с утвержденными схемами строповки. Перемещение груза, на который не разработана схема строповки, необходимо производить в присутствии и под руководством работника, ответственного за безопасное производство работ кранами. Для строповки следует применять стропы, соответствующие массе и характеру поднимаемого груза, с учетом числа ветвей и угла их наклона;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обвязке и зацепке груза цепи следует накладывать на основной массив (каркас, раму, станину) без узлов, перекруток и петель. Под острые ребра (углы) следует подкладывать специальные подкладки, предохраняющие стропы от повреждения;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допускается только на предусмотренные проектом производства работ или технологической картой места, где исключается возможность падения, опрокидывания или сползания устанавливаемого груза, на место установки груза следует предварительно уложить соответствующей прочности подкладки. Укладку и разборку грузов следует производить равномерно, не нарушая установленных для складирования грузов габаритов и не загромождая проходы;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кантовка грузов грузоподъемными механизмами может производиться на кантовальных площадках или в специально отведенных местах. Выполнение такой работы допускается по разработанной технологии, в которой следует указать последовательность выполнения операций, способ строповки груза и указания по безопасному выполнению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работы следует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5.1.22. При производстве работ на грузоподъемном механизме не допускается: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груз, застропованный работниками, не имеющими удостоверения стропальщика, а также использовать съемные грузозахватные приспособления без бирок или клейма. При обнаружении вышеуказанных нарушений следует прекратить работу и поставить в известность работника, ответственного за безопасное производство работ кранами;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и разгрузку грузов грузоподъемной машиной при отсутствии утвержденных схем их правильной обвязки и зацепки;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кантовать груз, масса которого превышает грузоподъемность грузоподъемной машины. Если работник, пользующийся грузоподъемной машиной, не знает массы груза, ему необходимо получить сведения (в письменном виде) о ней у работника, ответственного за безопасное производство работ кранами;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подтаскивать груз по земле, рельсам и лагам крюком при наклонном положении цепи;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отрывать крюком груз, засыпанный или примерзший к земле, заложенный другими грузами, закрепленный болтами или залитый бетоном, а также раскачивать груз с целью его отрыва;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освобождать грузоподъемной машиной защемленные грузом съемные грузозахватные приспособления (стропы, клещи и т. 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железобетонные изделия, не имеющие маркировки массы, с поврежденными петлями, груз в таре, заполненной выше бортов;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транспортные средства;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людей или груз с находящимися на нем людьми, а также груз, выравниваемый тяжестью людей или поддерживаемый руками;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краном работникам, не имеющим на это разрешения, а также допускать к самостоятельной работе учеников и стажеров без контроля за их действиями;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грузов в автомашины при нахождении водителя или других людей в кабине;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поднимать баллоны со сжатыми и сжиженными газами, не уложенные в специальные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5.1.23. Работник, пользующийся грузоподъемной машиной, обязан опустить груз, прекратить работу и сообщить об этом лицу, ответственному за безопасное производство работ кранами, при возникновении неисправностей, а также в следующих случаях: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поломке механизмов и металлоконструкций грузоподъемной машины;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недостаточном освещении места работы грузоподъемной машины, сильном снегопаде или тумане;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понижении температуры воздуха ниже указанной в паспорте грузоподъемной машины;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неправильной укладке или спадании цепи с барабана или блоков и обнаружении повреждения цепи;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ненадежном закреплении грузоподъемной машины на рабочем месте;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ограждения привода;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ненадежном закреплении цепи на барабане или неправильной его навивке (петли, слабина).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работа сценических механизмов в случаях: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ослабления креплений в стыках металлоконструкций или деталей механизмов;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механизмов или недопустимого износа их деталей, канатов, стяжек;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концевых выключателей, сигнальных приборов, тормозных устройств;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несоответствия оборудования заявленным паспортным данным.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в сценических механизмах и в оборудовании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электропитание, поступающее на механизмы и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руководителю;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пользуясь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электропитание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Проконтролировать, чтобы после разборки декораций все части декораций и материалы были убраны в предназначенное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отсутствие на планшете сцены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7.3.3. Убрать инструмент, средства защиты и предохранительные пояса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80e76ce99846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