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варщика гипса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варщика гипса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2.1.1. Трудовой кодекс Российской Федерации 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эксплуатации электроустановок, Приказ Минтруда от 15.12.2020 № 903н;</w:t>
      </w:r>
    </w:p>
    <w:p>
      <w:pPr>
        <w:spacing w:line="240" w:lineRule="auto"/>
        <w:rPr>
          <w:rFonts w:hAnsi="Times New Roman" w:cs="Times New Roman"/>
          <w:color w:val="000000"/>
          <w:sz w:val="24"/>
          <w:szCs w:val="24"/>
        </w:rPr>
      </w:pPr>
      <w:r>
        <w:rPr>
          <w:rFonts w:hAnsi="Times New Roman" w:cs="Times New Roman"/>
          <w:color w:val="000000"/>
          <w:sz w:val="24"/>
          <w:szCs w:val="24"/>
        </w:rPr>
        <w:t>2.1.4. 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2.1.5. 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2.1.6. Приказ Минздрава от 28.01.2021 № 29н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2.1.7. 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варщика гипса.</w:t>
      </w:r>
    </w:p>
    <w:p>
      <w:pPr>
        <w:spacing w:line="240" w:lineRule="auto"/>
        <w:rPr>
          <w:rFonts w:hAnsi="Times New Roman" w:cs="Times New Roman"/>
          <w:color w:val="000000"/>
          <w:sz w:val="24"/>
          <w:szCs w:val="24"/>
        </w:rPr>
      </w:pPr>
      <w:r>
        <w:rPr>
          <w:rFonts w:hAnsi="Times New Roman" w:cs="Times New Roman"/>
          <w:color w:val="000000"/>
          <w:sz w:val="24"/>
          <w:szCs w:val="24"/>
        </w:rPr>
        <w:t>3.2. Варщику гипса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варщиком допускаются лица с профессиональными навыками,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концентрацией пыли и влаги в воздухе помещений;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тепловой изоляцией печей, варочных котлов, сушильных барабанов, а также выбиванием дымовых газов в помещение, что может привести к ожогам и отравлению.</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внешний осмотр оборудования для варки гипса, убедиться в исправности (целостности) его основных элементов.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варщик гипса осматривает котел снаружи, обращая внимание на то, чтобы крышки, загрузочные и разгрузочные течки, шиберы, приводы были исправны. Проверяет заземление металлических частей оборудования, защитные и ограждающие устройства, сигнализацию и блокировку. Записывает в приемно-сдаточном журнале данные о приемке гипсоварочного котла.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сигнализацией,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варщику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Все работы производить в соответствии с технологической документацией и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варщик ведет наблюдение за ходом варки гипса в котле; при этом пользуется данными лаборатории о качестве сырья и готового продукта; следит за состоянием мешалки и питающих устройств, герметичностью трубопроводов, загрузочных и выгрузочных устройств и затворов; записывает в журнал замечания о недостатках и их устранении; если неполадки устранить не удается, останавливает котел.</w:t>
      </w:r>
    </w:p>
    <w:p>
      <w:pPr>
        <w:spacing w:line="240" w:lineRule="auto"/>
        <w:rPr>
          <w:rFonts w:hAnsi="Times New Roman" w:cs="Times New Roman"/>
          <w:color w:val="000000"/>
          <w:sz w:val="24"/>
          <w:szCs w:val="24"/>
        </w:rPr>
      </w:pPr>
      <w:r>
        <w:rPr>
          <w:rFonts w:hAnsi="Times New Roman" w:cs="Times New Roman"/>
          <w:color w:val="000000"/>
          <w:sz w:val="24"/>
          <w:szCs w:val="24"/>
        </w:rPr>
        <w:t>При обслуживании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загружать котлы при открытом смотровом люке и неплотно закрытом шибере;</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дозагрузку котла сыромолотым гипсом при температуре материала выше 100° С во избежание выбросов горячего гипса из котла;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неисправных лопастях и скребках мешалки, при снятых и неисправных крышках шнеков, а также при прогоревших жаровых трубах и днище котла;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неисправных пылеосадительных системах.</w:t>
      </w:r>
    </w:p>
    <w:p>
      <w:pPr>
        <w:spacing w:line="240" w:lineRule="auto"/>
        <w:rPr>
          <w:rFonts w:hAnsi="Times New Roman" w:cs="Times New Roman"/>
          <w:color w:val="000000"/>
          <w:sz w:val="24"/>
          <w:szCs w:val="24"/>
        </w:rPr>
      </w:pPr>
      <w:r>
        <w:rPr>
          <w:rFonts w:hAnsi="Times New Roman" w:cs="Times New Roman"/>
          <w:color w:val="000000"/>
          <w:sz w:val="24"/>
          <w:szCs w:val="24"/>
        </w:rPr>
        <w:t>Работу котлов немедленно прекращают при авариях и несчастных случаях, поломке деталей и механизмов гипсоварочного котла. Об этом ставят в известность мастера. Котел разрешается ремонтировать после охлаждения до температуры не выше 40° С. В конце смены варщик сдает оборудование своему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правильно применять спецодежду, спецобувь,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5.2.4. Заметив нарушение требований охраны труда другим работником, варщик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5.2.10. При выполнении работ варщику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установленную производительность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контрольно-измерительными приборами, а также приборами и оборудованием, обращению с которыми работник не обучен;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варщику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варщик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перекрыть подачу воды, пара;</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варщику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Опорожнить емкости оборудования, отключить его от сети.</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Осуществить чистку, мойку и дезинфекцию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приспособления, оснастку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b9f90bd75645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