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ветработника, работающего в отделе обеспечения ветлаборатории здоровыми животными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ветработника, работающего в отделе обеспечения ветлаборатории здоровыми животными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ветеринарного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ветеринарного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ветеринарным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ветеринарным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ветеринарных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 ветеринарного.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ветеринарному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ветеринарным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 в соответствии;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ветеринарный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ветеринарному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работника ветеринарного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ветеринарный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ветеринарного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готовность к работе своего рабочего места – привести его в надлежащее санитарное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работы вентиляции, освещения, водоснабжения,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Обращаться с животными следует ласково, но при этом твердо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Робкое и неуверенное обращение с животными может привести к их непослушанию.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Грубое обращение с животными при их осмотре, уходе, лечении и обработке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проведении ветеринарно-санитарных мероприятий не допускается присутствие работников, не имеющих отношения к проводимым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Лекарственные средства следует применять только при наличии этикеток, сопроводительных документов, удостоверяющих их наименование, качество, массу,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Ядовитые и сильнодействующие препараты необходимо хранить в специально выделенных для этих целей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медицинским инструментом, имеющим острые режущие и колющие поверхности (скальпели, лигатурные иглы, иглодержатели, ножницы, щипцы и т.п.) работнику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работнику ветеринарному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f4728ce8fe4d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