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грузового автомобиля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грузового автомобиля по перевозке длинномерного металлопроката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грузового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грузового автомобиля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грузового автомобиля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грузовых автомобилей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грузового автомобиля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водителей грузовых автомобилей по перевозке длинномерного металлопроката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водителя грузового автомобиля по перевозке длинномерного металлопроката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грузового автомобиля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перемещаемый и складируемый металлопрокат;</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(антифриз и др.), с которыми водитель находится в контакте при обслуживании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повлечь поражение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Водитель, допустивший нарушение или невыполнение требований инструкции по охране труда, несет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3.6.5. Водитель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установленные на предприятии;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настоящей инструкции, инструкции о мерах пожарной безопасности, инструкции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к эксплуатации автомобиля;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 назначению и бережно относиться к выданным средствам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соблюдать Правила по охране труда на автомобильном транспорте, утвержденные </w:t>
      </w:r>
      <w:r>
        <w:rPr>
          <w:rFonts w:hAnsi="Times New Roman" w:cs="Times New Roman"/>
          <w:color w:val="000000"/>
          <w:sz w:val="24"/>
          <w:szCs w:val="24"/>
        </w:rPr>
        <w:t>приказом Минтруда России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специальную одежду на все пуговицы,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4.1.3. Просмотреть маршрут дороги, проезды, по которым предстоит перевозить металлопрокат.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грузового автомобиля по перевозке длинномерного металлопроката.</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w:t>
      </w:r>
    </w:p>
    <w:p>
      <w:pPr>
        <w:spacing w:line="240" w:lineRule="auto"/>
        <w:rPr>
          <w:rFonts w:hAnsi="Times New Roman" w:cs="Times New Roman"/>
          <w:color w:val="000000"/>
          <w:sz w:val="24"/>
          <w:szCs w:val="24"/>
        </w:rPr>
      </w:pPr>
      <w:r>
        <w:rPr>
          <w:rFonts w:hAnsi="Times New Roman" w:cs="Times New Roman"/>
          <w:color w:val="000000"/>
          <w:sz w:val="24"/>
          <w:szCs w:val="24"/>
        </w:rPr>
        <w:t>– на исправность аккумуляторной батареи, стартера, тормозов, рулевого управления, освещения, сигнализации, дверей кабины, отопительного устройства, глушителя и плотность его соединений и т. д.;</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грузового автомобиля по перевозке длинномерного металлопроката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пуск непрогретого двигателя –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петель и зазоров бортов кузова;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 кузове;</w:t>
      </w:r>
    </w:p>
    <w:p>
      <w:pPr>
        <w:spacing w:line="240" w:lineRule="auto"/>
        <w:rPr>
          <w:rFonts w:hAnsi="Times New Roman" w:cs="Times New Roman"/>
          <w:color w:val="000000"/>
          <w:sz w:val="24"/>
          <w:szCs w:val="24"/>
        </w:rPr>
      </w:pPr>
      <w:r>
        <w:rPr>
          <w:rFonts w:hAnsi="Times New Roman" w:cs="Times New Roman"/>
          <w:color w:val="000000"/>
          <w:sz w:val="24"/>
          <w:szCs w:val="24"/>
        </w:rPr>
        <w:t>– на автомобиле с прицепом (полуприцепом), предназначенном для перевозки длинномерных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откидных стоек и щитов (последние устанавливаются между кабиной и грузом), исправность стопоров поворотных кругов прицепов, предупреждающих поворачивание прицепа при движении назад;</w:t>
      </w:r>
    </w:p>
    <w:p>
      <w:pPr>
        <w:spacing w:line="240" w:lineRule="auto"/>
        <w:rPr>
          <w:rFonts w:hAnsi="Times New Roman" w:cs="Times New Roman"/>
          <w:color w:val="000000"/>
          <w:sz w:val="24"/>
          <w:szCs w:val="24"/>
        </w:rPr>
      </w:pPr>
      <w:r>
        <w:rPr>
          <w:rFonts w:hAnsi="Times New Roman" w:cs="Times New Roman"/>
          <w:color w:val="000000"/>
          <w:sz w:val="24"/>
          <w:szCs w:val="24"/>
        </w:rPr>
        <w:t>– на прицепах и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стояночного тормоза, обеспечивающего удержание прицепа после его отсоединения от тягача, наличие не менее двух противооткатных упоров (за исключением одноосных прицепов);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устройств, поддерживающих сцепную петлю дышла в положении, удобном для сцепки с тягачом и отцепки от него (на прицепах, кроме роспусков);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предохранительных (аварийных) цепей или тросов, исключающих отрыв прицепа при поломке сцепного устройства (на одноосных прицепах, кроме роспусков, и на прицепах без тормозов);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устройств, служащих передними опорами, когда они отцеплены от автомобиля-тягача, и седельного устройства (на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грузового автомобиля по перевозке длинномерного металлопроката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Открывать крышку радиатора следует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Выезд на линию на неисправном или неукомплектованном грузовом автомобиле по перевозке длинномерного металлопроката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При пуске двигателя автомобиля пусковой рукояткой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пусковую рукоятку поворачивать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 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ручной регулировке опережения зажигания устанавливать позднее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осуществлять пуск двигателя путем буксировки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5.1.6. Заправку автомобиля топливом водитель должен производить в соответствии с требованиями безопасности, установленными для заправочных пунктов, которые должны быть вывешены на видном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заправки автомобиля топливом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переводить автомобиль с одного вида топлива на другой;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заводить двигатель автомобиля, если возле автомобиля пролит бензин (до его испарения).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заправке автомобиля топливом в зимнее время года заправочные пистолеты следует брать только в рукавицах, соблюдая особую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5.1.9. При заправке газобаллонного автомобиля сжиженным или сжатым природным газом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автомобиль на стояночный тормоз и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 закрепить автомобиль переносными башмаками-клиньями;</w:t>
      </w:r>
    </w:p>
    <w:p>
      <w:pPr>
        <w:spacing w:line="240" w:lineRule="auto"/>
        <w:rPr>
          <w:rFonts w:hAnsi="Times New Roman" w:cs="Times New Roman"/>
          <w:color w:val="000000"/>
          <w:sz w:val="24"/>
          <w:szCs w:val="24"/>
        </w:rPr>
      </w:pPr>
      <w:r>
        <w:rPr>
          <w:rFonts w:hAnsi="Times New Roman" w:cs="Times New Roman"/>
          <w:color w:val="000000"/>
          <w:sz w:val="24"/>
          <w:szCs w:val="24"/>
        </w:rPr>
        <w:t>– закрыть магистральный вентиль; расходные вентили при этом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5.1.10. При заправке газобаллонного автомобиля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заполнять газом баллоны, у которых истек срок назначенного освидетельствования, поврежден корпус (трещины, заметное изменение формы, вмятины, глубокие риски, сильная коррозия), неисправны вентили, отсутствует надлежащая окраска или надписи, отсутствуют установленные клейма;</w:t>
      </w:r>
    </w:p>
    <w:p>
      <w:pPr>
        <w:spacing w:line="240" w:lineRule="auto"/>
        <w:rPr>
          <w:rFonts w:hAnsi="Times New Roman" w:cs="Times New Roman"/>
          <w:color w:val="000000"/>
          <w:sz w:val="24"/>
          <w:szCs w:val="24"/>
        </w:rPr>
      </w:pPr>
      <w:r>
        <w:rPr>
          <w:rFonts w:hAnsi="Times New Roman" w:cs="Times New Roman"/>
          <w:color w:val="000000"/>
          <w:sz w:val="24"/>
          <w:szCs w:val="24"/>
        </w:rPr>
        <w:t>– наполнять баллоны газом при обнаружении утечки газа в газопроводах или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 стоять около наполнительного шланга или баллонов во время наполнения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подтягивать гайки и соединения, производить регулировку и ремонт газовой арматуры, находящейся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стучать металлическими предметами по арматуре и газопроводам, находящимся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наблюдения автомобиль во время заправки;</w:t>
      </w:r>
    </w:p>
    <w:p>
      <w:pPr>
        <w:spacing w:line="240" w:lineRule="auto"/>
        <w:rPr>
          <w:rFonts w:hAnsi="Times New Roman" w:cs="Times New Roman"/>
          <w:color w:val="000000"/>
          <w:sz w:val="24"/>
          <w:szCs w:val="24"/>
        </w:rPr>
      </w:pPr>
      <w:r>
        <w:rPr>
          <w:rFonts w:hAnsi="Times New Roman" w:cs="Times New Roman"/>
          <w:color w:val="000000"/>
          <w:sz w:val="24"/>
          <w:szCs w:val="24"/>
        </w:rPr>
        <w:t>– держать автомобиль присоединенным к заправочной колонке, когда заправка его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заправку автомобиля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 вести вблизи автомобиля какие-либо работы, не относящиеся к заправке;</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проверять герметичность соединения газовой аппаратуры огнем;</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посторонних лиц к заправочной колонке.</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переполнении баллона газобаллонного автомобиля СУГ более предельного уровня (85% его объема) необходимо вывести автомобиль в безопасную зону и выработать излишек газа.</w:t>
      </w:r>
    </w:p>
    <w:p>
      <w:pPr>
        <w:spacing w:line="240" w:lineRule="auto"/>
        <w:rPr>
          <w:rFonts w:hAnsi="Times New Roman" w:cs="Times New Roman"/>
          <w:color w:val="000000"/>
          <w:sz w:val="24"/>
          <w:szCs w:val="24"/>
        </w:rPr>
      </w:pPr>
      <w:r>
        <w:rPr>
          <w:rFonts w:hAnsi="Times New Roman" w:cs="Times New Roman"/>
          <w:color w:val="000000"/>
          <w:sz w:val="24"/>
          <w:szCs w:val="24"/>
        </w:rPr>
        <w:t>5.1.12. По окончании заправки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мыльной эмульсией плотность закрытия вентиля баллона;</w:t>
      </w:r>
    </w:p>
    <w:p>
      <w:pPr>
        <w:spacing w:line="240" w:lineRule="auto"/>
        <w:rPr>
          <w:rFonts w:hAnsi="Times New Roman" w:cs="Times New Roman"/>
          <w:color w:val="000000"/>
          <w:sz w:val="24"/>
          <w:szCs w:val="24"/>
        </w:rPr>
      </w:pPr>
      <w:r>
        <w:rPr>
          <w:rFonts w:hAnsi="Times New Roman" w:cs="Times New Roman"/>
          <w:color w:val="000000"/>
          <w:sz w:val="24"/>
          <w:szCs w:val="24"/>
        </w:rPr>
        <w:t>– снять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убрать башмаки-клинья;</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двигатель и выехать с территории АГЗС.</w:t>
      </w:r>
    </w:p>
    <w:p>
      <w:pPr>
        <w:spacing w:line="240" w:lineRule="auto"/>
        <w:rPr>
          <w:rFonts w:hAnsi="Times New Roman" w:cs="Times New Roman"/>
          <w:color w:val="000000"/>
          <w:sz w:val="24"/>
          <w:szCs w:val="24"/>
        </w:rPr>
      </w:pPr>
      <w:r>
        <w:rPr>
          <w:rFonts w:hAnsi="Times New Roman" w:cs="Times New Roman"/>
          <w:color w:val="000000"/>
          <w:sz w:val="24"/>
          <w:szCs w:val="24"/>
        </w:rPr>
        <w:t>5.1.13. Если после заправки двигатель при пуске дает перебои (хлопки), то его следует немедленно заглушить, а автомобиль откатить или отбуксировать на расстояние не менее 15 метров от заправочной колонки.</w:t>
      </w:r>
    </w:p>
    <w:p>
      <w:pPr>
        <w:spacing w:line="240" w:lineRule="auto"/>
        <w:rPr>
          <w:rFonts w:hAnsi="Times New Roman" w:cs="Times New Roman"/>
          <w:color w:val="000000"/>
          <w:sz w:val="24"/>
          <w:szCs w:val="24"/>
        </w:rPr>
      </w:pPr>
      <w:r>
        <w:rPr>
          <w:rFonts w:hAnsi="Times New Roman" w:cs="Times New Roman"/>
          <w:color w:val="000000"/>
          <w:sz w:val="24"/>
          <w:szCs w:val="24"/>
        </w:rPr>
        <w:t>5.1.14. При заправке автомобиля этилированным бензином водитель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производить из бензоколонки со шлангом, снабженным раздаточным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находиться с наветренной стороны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этилированным бензином при помощи леек и т. п., а также получать этилированный бензин в тару (канистры);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этилированный бензин для промывки деталей, чистки одежды, а также мытья рук;</w:t>
      </w:r>
    </w:p>
    <w:p>
      <w:pPr>
        <w:spacing w:line="240" w:lineRule="auto"/>
        <w:rPr>
          <w:rFonts w:hAnsi="Times New Roman" w:cs="Times New Roman"/>
          <w:color w:val="000000"/>
          <w:sz w:val="24"/>
          <w:szCs w:val="24"/>
        </w:rPr>
      </w:pPr>
      <w:r>
        <w:rPr>
          <w:rFonts w:hAnsi="Times New Roman" w:cs="Times New Roman"/>
          <w:color w:val="000000"/>
          <w:sz w:val="24"/>
          <w:szCs w:val="24"/>
        </w:rPr>
        <w:t>– обезвреживать места, залитые этилированным бензином, сухой хлорной известью;</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этилированный бензин на автомобилях совместно с другими грузами, вместе с людьми, а также в кузовах легковых автомобилей. Лицо, сопровождающее грузовой автомобиль с этилированным бензином, должно находиться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кабине или кузове автомобиля обтирочные материалы, пропитанные этилированным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засасывать ртом через шланг этилированный бензин и продувать систему питания.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во время движения запаха бензина водитель должен немедленно остановиться, выяснить причину появления запаха и устранить ее.</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линии обтирочные материалы, загрязненные этилированным бензином, следует сжигать за бровкой дороги, в стороне от автомобиля, приняв меры для предупреждения распространения огня. При этом водитель не должен уезжать, пока сжигаемые материалы не сгорят и не погаснет огонь.</w:t>
      </w:r>
    </w:p>
    <w:p>
      <w:pPr>
        <w:spacing w:line="240" w:lineRule="auto"/>
        <w:rPr>
          <w:rFonts w:hAnsi="Times New Roman" w:cs="Times New Roman"/>
          <w:color w:val="000000"/>
          <w:sz w:val="24"/>
          <w:szCs w:val="24"/>
        </w:rPr>
      </w:pPr>
      <w:r>
        <w:rPr>
          <w:rFonts w:hAnsi="Times New Roman" w:cs="Times New Roman"/>
          <w:color w:val="000000"/>
          <w:sz w:val="24"/>
          <w:szCs w:val="24"/>
        </w:rPr>
        <w:t>5.1.18. Прежде чем начать движение с места остановки (стоянки) или выехать из гаража, водитель должен убедиться, что это безопасно для людей, подать предупредительный сигнал и лишь после этого трогаться с места.</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линии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выбирать скорость движения с учетом дорожных условий, видимости и обзорности, интенсивности и характера движения транспортных средств и пешеходов, особенностей и состояния автомобиля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резкого торможения и резких поворотов, не превышать установленной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 наблюдать за показаниями контрольных приборов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сохранностью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 с наступлением темноты включить осветительные приборы: на неосвещенных участках дорог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линии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отклоняться от установленного маршрута и мест стоянок;</w:t>
      </w:r>
    </w:p>
    <w:p>
      <w:pPr>
        <w:spacing w:line="240" w:lineRule="auto"/>
        <w:rPr>
          <w:rFonts w:hAnsi="Times New Roman" w:cs="Times New Roman"/>
          <w:color w:val="000000"/>
          <w:sz w:val="24"/>
          <w:szCs w:val="24"/>
        </w:rPr>
      </w:pPr>
      <w:r>
        <w:rPr>
          <w:rFonts w:hAnsi="Times New Roman" w:cs="Times New Roman"/>
          <w:color w:val="000000"/>
          <w:sz w:val="24"/>
          <w:szCs w:val="24"/>
        </w:rPr>
        <w:t>– двигаться с выключенным сцеплением и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состоянии алкогольного опьянения либо под воздействием наркотических средств и психотропных или токсических веществ, а также употреблять их после дорожно-транспортного происшествия до проверки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болезненном или утомленном состоянии, а также в состоянии под воздействием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транспортным средством лицам, не имеющим удостоверения на право управления транспортным средством данной категории, находящимся в болезненном или утомленном состоянии, под воздействием алкогольного опьянения, наркотических средств и психотропных или токсических веществ,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остановке автомобиля водитель, покидая кабину, должен обезопасить автомобиль от самопроизвольного движения (выключить зажигание или прекратить подачу топлива, установить рычаг переключения передач в нейтральное положение,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стоит даже на незначительном уклоне, необходимо дополнительно поставить под колеса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во время стоянки водителям, грузчикам и другим лицам отдыхать или спать в кабине, салоне или закрытом кузове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5.1.23. Выходя из кабины автомобиля на проезжую часть дороги, водитель должен предварительно убедиться в отсутствии движения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5.1.24.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требования безопасности движения и указания регулировщиков дорожного движения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грузовом автомобиле по перевозке длинномерного металлопроката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требования Правил противопожарного режима в РФ (</w:t>
      </w:r>
      <w:r>
        <w:rPr>
          <w:rFonts w:hAnsi="Times New Roman" w:cs="Times New Roman"/>
          <w:color w:val="000000"/>
          <w:sz w:val="24"/>
          <w:szCs w:val="24"/>
        </w:rPr>
        <w:t>постановление Правительства от 16.09.2020 № 1479</w:t>
      </w:r>
      <w:r>
        <w:rPr>
          <w:rFonts w:hAnsi="Times New Roman" w:cs="Times New Roman"/>
          <w:color w:val="000000"/>
          <w:sz w:val="24"/>
          <w:szCs w:val="24"/>
        </w:rPr>
        <w:t>) и Правил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перевозке грузов транспортными средствами необходимо использовать транспортные средства, предназначенные для такой перевозки в соответствии с технической документацией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допускается движение транспортного средства, если масса буксируемого прицепа (полуприцепа) превышает технические нормативы тягача, установленные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5.1.33. Транспортное средство должно быть оснащено системой автоматического (аварийного) торможения, которая соответствует требованиям технического регулирования, а также должно иметь не менее двух противооткатных упоров для каждого транспортного средства в целях дополнительной фиксации колес в случае аварийной остановки на уклоне.</w:t>
      </w:r>
    </w:p>
    <w:p>
      <w:pPr>
        <w:spacing w:line="240" w:lineRule="auto"/>
        <w:rPr>
          <w:rFonts w:hAnsi="Times New Roman" w:cs="Times New Roman"/>
          <w:color w:val="000000"/>
          <w:sz w:val="24"/>
          <w:szCs w:val="24"/>
        </w:rPr>
      </w:pPr>
      <w:r>
        <w:rPr>
          <w:rFonts w:hAnsi="Times New Roman" w:cs="Times New Roman"/>
          <w:color w:val="000000"/>
          <w:sz w:val="24"/>
          <w:szCs w:val="24"/>
        </w:rPr>
        <w:t>5.1.34. В зависимости от габаритов транспортного средства и перевозимого груза на транспортном средстве должны быть установлены опознавательные знаки: «автопоезд», «крупногабаритный груз», «длинномерное транспортное средство», «ограничение скорости».</w:t>
      </w:r>
    </w:p>
    <w:p>
      <w:pPr>
        <w:spacing w:line="240" w:lineRule="auto"/>
        <w:rPr>
          <w:rFonts w:hAnsi="Times New Roman" w:cs="Times New Roman"/>
          <w:color w:val="000000"/>
          <w:sz w:val="24"/>
          <w:szCs w:val="24"/>
        </w:rPr>
      </w:pPr>
      <w:r>
        <w:rPr>
          <w:rFonts w:hAnsi="Times New Roman" w:cs="Times New Roman"/>
          <w:color w:val="000000"/>
          <w:sz w:val="24"/>
          <w:szCs w:val="24"/>
        </w:rPr>
        <w:t>Знак «Длинномерное транспортное средство» устанавливается, если длина транспортного средства с грузом или без него превышает 20,0 м.</w:t>
      </w:r>
    </w:p>
    <w:p>
      <w:pPr>
        <w:spacing w:line="240" w:lineRule="auto"/>
        <w:rPr>
          <w:rFonts w:hAnsi="Times New Roman" w:cs="Times New Roman"/>
          <w:color w:val="000000"/>
          <w:sz w:val="24"/>
          <w:szCs w:val="24"/>
        </w:rPr>
      </w:pPr>
      <w:r>
        <w:rPr>
          <w:rFonts w:hAnsi="Times New Roman" w:cs="Times New Roman"/>
          <w:color w:val="000000"/>
          <w:sz w:val="24"/>
          <w:szCs w:val="24"/>
        </w:rPr>
        <w:t>Знак «Ограничение скорости» устанавливается с тем значением допустимой скорости движения, которое указано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5.1.35. Крайние точки (по ширине и длине) крупногабаритного транспортного средства должны быть оборудованы мигающими (проблесковыми) фонарями (сигналами) желтого или оранжевого цвета.</w:t>
      </w:r>
    </w:p>
    <w:p>
      <w:pPr>
        <w:spacing w:line="240" w:lineRule="auto"/>
        <w:rPr>
          <w:rFonts w:hAnsi="Times New Roman" w:cs="Times New Roman"/>
          <w:color w:val="000000"/>
          <w:sz w:val="24"/>
          <w:szCs w:val="24"/>
        </w:rPr>
      </w:pPr>
      <w:r>
        <w:rPr>
          <w:rFonts w:hAnsi="Times New Roman" w:cs="Times New Roman"/>
          <w:color w:val="000000"/>
          <w:sz w:val="24"/>
          <w:szCs w:val="24"/>
        </w:rPr>
        <w:t>При ширине транспортного средства с грузом или без груза более 3,0 м желтых или оранжевых фонарей (сигналов) должно быть по два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расстояние между световыми сигналами транспортного средства и крайним желтым или оранжевым фонарем (сигналом) превышает 1,0 м, на транспортном средстве должны быть установлены дополнительные желтые или оранжевые фонари (сигналы), которые могут быть проблесковыми, через каждый 1,0 м.</w:t>
      </w:r>
    </w:p>
    <w:p>
      <w:pPr>
        <w:spacing w:line="240" w:lineRule="auto"/>
        <w:rPr>
          <w:rFonts w:hAnsi="Times New Roman" w:cs="Times New Roman"/>
          <w:color w:val="000000"/>
          <w:sz w:val="24"/>
          <w:szCs w:val="24"/>
        </w:rPr>
      </w:pPr>
      <w:r>
        <w:rPr>
          <w:rFonts w:hAnsi="Times New Roman" w:cs="Times New Roman"/>
          <w:color w:val="000000"/>
          <w:sz w:val="24"/>
          <w:szCs w:val="24"/>
        </w:rPr>
        <w:t>Груз, выступающий за габариты транспортного средства спереди и сзади более чем на 1,0 м или сбоку более чем на 0,4 м от внешнего края габаритного огня, должен быть обозначен опознавательными знаками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5.1.36. При длине крупногабаритного транспортного средства свыше 25,0 м боковые поверхности транспортного средства должны быть оборудованы мигающими (проблесковыми) фонарями (сигналами) желтого или оранжевого цвета с расстоянием между ними 2,0 м.</w:t>
      </w:r>
    </w:p>
    <w:p>
      <w:pPr>
        <w:spacing w:line="240" w:lineRule="auto"/>
        <w:rPr>
          <w:rFonts w:hAnsi="Times New Roman" w:cs="Times New Roman"/>
          <w:color w:val="000000"/>
          <w:sz w:val="24"/>
          <w:szCs w:val="24"/>
        </w:rPr>
      </w:pPr>
      <w:r>
        <w:rPr>
          <w:rFonts w:hAnsi="Times New Roman" w:cs="Times New Roman"/>
          <w:color w:val="000000"/>
          <w:sz w:val="24"/>
          <w:szCs w:val="24"/>
        </w:rPr>
        <w:t>5.1.37. На кабине тягача крупногабаритного транспортного средства должно быть установлено не менее двух наружных зеркал заднего вида с обеих сторон, которые должны обеспечивать водителю обзор как при прямолинейном, так и при криволинейном движении с учетом габаритов транспортного средства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5.1.38. Собственник (владелец) транспортного средства обязан обеспечить соответствие технического состояния транспортного средства требованиям безопасности дорожного движения и не допускать транспортное средство к эксплуатации при наличии у него неисправностей, предусмотренных приложением к основным положениям по допуску транспортных средств к эксплуатации и обязанностям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5.1.39. Размещение и крепление груза на транспортном средстве должно соответствовать схеме размещения и крепления груза, разработанной согласно требованиям законодательства Российской Федерации об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5.1.40. В случаях если ширина транспортного средства превышает 5,0 м или длина транспортного средства превышает 35,0 м или если на двухполосных автомобильных дорогах при движении крупногабаритного транспортного средства ширина проезжей части для встречного движения составляет менее 3,0 м, должен быть разработан проект организации дорожного движения по маршруту или участку маршрута.</w:t>
      </w:r>
    </w:p>
    <w:p>
      <w:pPr>
        <w:spacing w:line="240" w:lineRule="auto"/>
        <w:rPr>
          <w:rFonts w:hAnsi="Times New Roman" w:cs="Times New Roman"/>
          <w:color w:val="000000"/>
          <w:sz w:val="24"/>
          <w:szCs w:val="24"/>
        </w:rPr>
      </w:pPr>
      <w:r>
        <w:rPr>
          <w:rFonts w:hAnsi="Times New Roman" w:cs="Times New Roman"/>
          <w:color w:val="000000"/>
          <w:sz w:val="24"/>
          <w:szCs w:val="24"/>
        </w:rPr>
        <w:t>5.1.41. Проект организации дорожного движения должен содержать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1) схему и описание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2) характеристики и параметры транспортных средств, участвующих в движении;</w:t>
      </w:r>
    </w:p>
    <w:p>
      <w:pPr>
        <w:spacing w:line="240" w:lineRule="auto"/>
        <w:rPr>
          <w:rFonts w:hAnsi="Times New Roman" w:cs="Times New Roman"/>
          <w:color w:val="000000"/>
          <w:sz w:val="24"/>
          <w:szCs w:val="24"/>
        </w:rPr>
      </w:pPr>
      <w:r>
        <w:rPr>
          <w:rFonts w:hAnsi="Times New Roman" w:cs="Times New Roman"/>
          <w:color w:val="000000"/>
          <w:sz w:val="24"/>
          <w:szCs w:val="24"/>
        </w:rPr>
        <w:t>3) расположение автомобилей прикрытия спереди и сзади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 график движения по маршруту с учетом интенсивности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 схемы изменения организации дорожного движения и прикрытия автомобилем сопровождения на участках маршрута, имеющих ограниченную видимость, а также указанных владельцами автомобильных дорог и Государственной инспекцией безопасности дорожного движения МВД (далее – Госавтоинспекция);</w:t>
      </w:r>
    </w:p>
    <w:p>
      <w:pPr>
        <w:spacing w:line="240" w:lineRule="auto"/>
        <w:rPr>
          <w:rFonts w:hAnsi="Times New Roman" w:cs="Times New Roman"/>
          <w:color w:val="000000"/>
          <w:sz w:val="24"/>
          <w:szCs w:val="24"/>
        </w:rPr>
      </w:pPr>
      <w:r>
        <w:rPr>
          <w:rFonts w:hAnsi="Times New Roman" w:cs="Times New Roman"/>
          <w:color w:val="000000"/>
          <w:sz w:val="24"/>
          <w:szCs w:val="24"/>
        </w:rPr>
        <w:t>6) порядок проезда поворотов, перекрестков, железнодорожных переездов, сужений проезжей части, участков с выездом на полосу встречного движения с нанесенной на схему траекторией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7) места осуществления контрольных промеров габаритов искусственных сооружений и коммуникаций в процессе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8) места остановок и стоянок для отдыха и пропуска попутных (встречных)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9) информацию о необходимости полного или частичного перекрытия движения на участках автомобильной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5.1.42. Сведения, изложенные в проекте организации дорожного движения, должны быть подтверждены фотоматериалами, отражающими фактическое состояние объектов дорожной инфраструктуры на момент разработки проекта организации дорожного движения после подачи заявления на получение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5.1.43. Проект организации дорожного движения должен быть оформлен в бумажном виде, сброшюрован, подписан лицом, его разработавшим, с указанием фамилии, имени, отчества (при наличии) и заверен печатью (при наличии) организации (для юридических лиц) или подписью индивидуального предпринимателя с проставлением даты.</w:t>
      </w:r>
    </w:p>
    <w:p>
      <w:pPr>
        <w:spacing w:line="240" w:lineRule="auto"/>
        <w:rPr>
          <w:rFonts w:hAnsi="Times New Roman" w:cs="Times New Roman"/>
          <w:color w:val="000000"/>
          <w:sz w:val="24"/>
          <w:szCs w:val="24"/>
        </w:rPr>
      </w:pPr>
      <w:r>
        <w:rPr>
          <w:rFonts w:hAnsi="Times New Roman" w:cs="Times New Roman"/>
          <w:color w:val="000000"/>
          <w:sz w:val="24"/>
          <w:szCs w:val="24"/>
        </w:rPr>
        <w:t>5.1.44. Проект организации дорожного движения представляется в уполномоченный орган по выдаче специального разрешения (далее – уполномоченный орган)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5.1.45. Водителю транспортного средства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начинать и осуществлять движение без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2) начинать и осуществлять движение со специальным разрешением, срок действия которого истек, а также если специальное разрешение содержит исправления;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 отклоняться от установленного в специальном разрешении маршрута;</w:t>
      </w:r>
    </w:p>
    <w:p>
      <w:pPr>
        <w:spacing w:line="240" w:lineRule="auto"/>
        <w:rPr>
          <w:rFonts w:hAnsi="Times New Roman" w:cs="Times New Roman"/>
          <w:color w:val="000000"/>
          <w:sz w:val="24"/>
          <w:szCs w:val="24"/>
        </w:rPr>
      </w:pPr>
      <w:r>
        <w:rPr>
          <w:rFonts w:hAnsi="Times New Roman" w:cs="Times New Roman"/>
          <w:color w:val="000000"/>
          <w:sz w:val="24"/>
          <w:szCs w:val="24"/>
        </w:rPr>
        <w:t>4) нарушать особые условия движения, указанные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 превышать указанную в специальном разрешении и на дорожном знаке скорость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6) осуществлять движение при метеорологической видимости менее 100,0 м, а также во время гололеда, снегопада (по данным Гидрометцентра);</w:t>
      </w:r>
    </w:p>
    <w:p>
      <w:pPr>
        <w:spacing w:line="240" w:lineRule="auto"/>
        <w:rPr>
          <w:rFonts w:hAnsi="Times New Roman" w:cs="Times New Roman"/>
          <w:color w:val="000000"/>
          <w:sz w:val="24"/>
          <w:szCs w:val="24"/>
        </w:rPr>
      </w:pPr>
      <w:r>
        <w:rPr>
          <w:rFonts w:hAnsi="Times New Roman" w:cs="Times New Roman"/>
          <w:color w:val="000000"/>
          <w:sz w:val="24"/>
          <w:szCs w:val="24"/>
        </w:rPr>
        <w:t>7) двигаться по разделительной полосе, обочине, откосу автомобильной дороги, если такой порядок не определен особыми условиями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8) останавливаться для отдыха вне специально обозначенных стоянок, расположенных за пределами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9) начинать либо продолжать движение при возникновении технической неисправности транспортного средства, угрожающей безопасности движения, а также при смещении груза либо ослаблении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10) осуществлять движение по автозимникам, если весовые параметры транспортного средства превышают допустимые весовые параметры, установленные для автозимника.</w:t>
      </w:r>
    </w:p>
    <w:p>
      <w:pPr>
        <w:spacing w:line="240" w:lineRule="auto"/>
        <w:rPr>
          <w:rFonts w:hAnsi="Times New Roman" w:cs="Times New Roman"/>
          <w:color w:val="000000"/>
          <w:sz w:val="24"/>
          <w:szCs w:val="24"/>
        </w:rPr>
      </w:pPr>
      <w:r>
        <w:rPr>
          <w:rFonts w:hAnsi="Times New Roman" w:cs="Times New Roman"/>
          <w:color w:val="000000"/>
          <w:sz w:val="24"/>
          <w:szCs w:val="24"/>
        </w:rPr>
        <w:t>5.1.46. Движение транспортных средств должно осуществляться в одиночном порядке. Не допускается движение транспортных средств организованными колоннами.</w:t>
      </w:r>
    </w:p>
    <w:p>
      <w:pPr>
        <w:spacing w:line="240" w:lineRule="auto"/>
        <w:rPr>
          <w:rFonts w:hAnsi="Times New Roman" w:cs="Times New Roman"/>
          <w:color w:val="000000"/>
          <w:sz w:val="24"/>
          <w:szCs w:val="24"/>
        </w:rPr>
      </w:pPr>
      <w:r>
        <w:rPr>
          <w:rFonts w:hAnsi="Times New Roman" w:cs="Times New Roman"/>
          <w:color w:val="000000"/>
          <w:sz w:val="24"/>
          <w:szCs w:val="24"/>
        </w:rPr>
        <w:t>5.1.47. Скорость движения транспортного средства устанавливается уполномоченным органом с учетом сведений, поступивших от владельцев автомобильных дорог и Госавтоинспекции, согласовавших маршрут движения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5.1.48. Необходимость и количество автомобилей прикрытия определяется в соответствии с обязательными условиями использования автомобилей прикрытия.</w:t>
      </w:r>
    </w:p>
    <w:p>
      <w:pPr>
        <w:spacing w:line="240" w:lineRule="auto"/>
        <w:rPr>
          <w:rFonts w:hAnsi="Times New Roman" w:cs="Times New Roman"/>
          <w:color w:val="000000"/>
          <w:sz w:val="24"/>
          <w:szCs w:val="24"/>
        </w:rPr>
      </w:pPr>
      <w:r>
        <w:rPr>
          <w:rFonts w:hAnsi="Times New Roman" w:cs="Times New Roman"/>
          <w:color w:val="000000"/>
          <w:sz w:val="24"/>
          <w:szCs w:val="24"/>
        </w:rPr>
        <w:t>5.1.49. Необходимость участия в сопровождении патрульных автомобилей ГИБДД определяется подразделением ГИБДД при согласовании маршрута движения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5.1.50. Автомобиль прикрытия должен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1) перед сопровождаемым транспортным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а) уступом с левой стороны по отношению к сопровождаемому транспортному средству таким образом, чтобы его габарит по ширине выступал за габарит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б) с информационным светоотражающим или с внутренним освещением табло «БОЛЬШАЯ ШИРИНА» или «БОЛЬШАЯ ДЛИНА», обращенным вперед;</w:t>
      </w:r>
    </w:p>
    <w:p>
      <w:pPr>
        <w:spacing w:line="240" w:lineRule="auto"/>
        <w:rPr>
          <w:rFonts w:hAnsi="Times New Roman" w:cs="Times New Roman"/>
          <w:color w:val="000000"/>
          <w:sz w:val="24"/>
          <w:szCs w:val="24"/>
        </w:rPr>
      </w:pPr>
      <w:r>
        <w:rPr>
          <w:rFonts w:hAnsi="Times New Roman" w:cs="Times New Roman"/>
          <w:color w:val="000000"/>
          <w:sz w:val="24"/>
          <w:szCs w:val="24"/>
        </w:rPr>
        <w:t>в) с устройством для контроля высоты искусственных сооружений и других инженерных коммуникаций при высоте транспортного средства с грузом или без груза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2) позади сопровождаемого транспортного средства с информационным светоотражающим или с внутренним освещением табло «БОЛЬШАЯ ШИРИНА» или «БОЛЬШАЯ ДЛИНА», обращенным назад.</w:t>
      </w:r>
    </w:p>
    <w:p>
      <w:pPr>
        <w:spacing w:line="240" w:lineRule="auto"/>
        <w:rPr>
          <w:rFonts w:hAnsi="Times New Roman" w:cs="Times New Roman"/>
          <w:color w:val="000000"/>
          <w:sz w:val="24"/>
          <w:szCs w:val="24"/>
        </w:rPr>
      </w:pPr>
      <w:r>
        <w:rPr>
          <w:rFonts w:hAnsi="Times New Roman" w:cs="Times New Roman"/>
          <w:color w:val="000000"/>
          <w:sz w:val="24"/>
          <w:szCs w:val="24"/>
        </w:rPr>
        <w:t>5.1.51. Использование автомобиля прикрытия также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позади крупногабаритного транспортного средства в случае, когда свес груза за задний габарит крупногабаритного транспортного средства составляет более 4,0 м независимо от прочих параметров данного транспортного средства с грузом;</w:t>
      </w:r>
    </w:p>
    <w:p>
      <w:pPr>
        <w:spacing w:line="240" w:lineRule="auto"/>
        <w:rPr>
          <w:rFonts w:hAnsi="Times New Roman" w:cs="Times New Roman"/>
          <w:color w:val="000000"/>
          <w:sz w:val="24"/>
          <w:szCs w:val="24"/>
        </w:rPr>
      </w:pPr>
      <w:r>
        <w:rPr>
          <w:rFonts w:hAnsi="Times New Roman" w:cs="Times New Roman"/>
          <w:color w:val="000000"/>
          <w:sz w:val="24"/>
          <w:szCs w:val="24"/>
        </w:rPr>
        <w:t>2) спереди крупногабаритного транспортного средства в случае, когда габаритный параметр крупногабаритного транспортного средства с грузом или без груза по высоте составляет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5.1.52. Разрешенное время движения транспортного средства (дни и часы) определяется владельцами автомобильных дорог, инженерных коммуникаций, железнодорожных путей, ГИБДД, согласующими специальное разрешение, уполномоченным органом и указывается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5.1.53. При погрузке сортовой стали в транспортное средство отдельные ее пачки укладываются параллельно друг другу без перекашивания.</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до 180 мм увязывается обвязками из проволоки диаметром не менее 6 мм в две нити: при длине пачки металла до 6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Каждая пачка сортовой стали размером профиля более 180 мм увязывается обвязками из проволоки диаметром не менее 6 мм в две нити: при длине пачки металла до 9 м - в двух местах; при большей длине пачки металла - в трех местах.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пачки сортовой стали за обвязки.</w:t>
      </w:r>
    </w:p>
    <w:p>
      <w:pPr>
        <w:spacing w:line="240" w:lineRule="auto"/>
        <w:rPr>
          <w:rFonts w:hAnsi="Times New Roman" w:cs="Times New Roman"/>
          <w:color w:val="000000"/>
          <w:sz w:val="24"/>
          <w:szCs w:val="24"/>
        </w:rPr>
      </w:pPr>
      <w:r>
        <w:rPr>
          <w:rFonts w:hAnsi="Times New Roman" w:cs="Times New Roman"/>
          <w:color w:val="000000"/>
          <w:sz w:val="24"/>
          <w:szCs w:val="24"/>
        </w:rPr>
        <w:t>5.1.54. При погрузке и разгрузке из транспортного средства металлопроката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разгрузке металлопроката в виде стержней круглого или квадратного сечения металла в пачках применяются стропы с крюками и пакетирующие стропы. При этом пачка или стержни крепятся "на удавку". После поднятия пачки металла или стержней на высоту не более 1 м стропальщик должен убедиться в правильной строповке и отойти в безопасное место, определенное планом производства работ или технологической картой, и с этого места подать сигнал на подъем груза.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2) при разгрузке металлопроката в виде листового металла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подвести вспомогательный строп (подстропник) под груз, количество которого не должно превышать номинальную грузоподъемность крана, надеть петли стропа на крюк крана и слегка их натянуть подъемом крюка. Стропальщики при этом отходят в безопасное место, определенное планом производства работ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по сигналу старшего стропальщика машинист крана приподнимает захваченный груз на высоту не более 0,5 м и в образовавшийся зазор стропальщики подводят основные стропы, после чего груз опускается на место, а вспомогательный строп снимается с крюка и на него навешиваются основные стропы. Стропальщики отходят в безопасное место, после чего по сигналу старшего стропальщика машинист крана может переместить груз на место укладки. Укладка производится на подкладки или прокладки. Такой порядок соблюдается до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листового металла краном с магнитной шайбой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указать машинисту крана место опускания магнитной шайбы на груз, после чего стропальщик должен отойти в безопасное, видимое машинисту крана место, и дать команду на подъем груза;</w:t>
      </w:r>
    </w:p>
    <w:p>
      <w:pPr>
        <w:spacing w:line="240" w:lineRule="auto"/>
        <w:rPr>
          <w:rFonts w:hAnsi="Times New Roman" w:cs="Times New Roman"/>
          <w:color w:val="000000"/>
          <w:sz w:val="24"/>
          <w:szCs w:val="24"/>
        </w:rPr>
      </w:pPr>
      <w:r>
        <w:rPr>
          <w:rFonts w:hAnsi="Times New Roman" w:cs="Times New Roman"/>
          <w:color w:val="000000"/>
          <w:sz w:val="24"/>
          <w:szCs w:val="24"/>
        </w:rPr>
        <w:t>груз поднимается выше борта полувагона на высоту не менее 0,5 м, перемещается и опускается над местом укладки на 1 м и с поправкой положения при помощи подручных средств (багра, оттяжки) груз укладывается в штабель. Такой порядок должен соблюдаться до окончания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автомобиля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6.4.5.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Проверить комплектность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частей автомобиля, которые влияют непосредственно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у газобаллонных автомобилей проверить техническое состояние газового редуктора и герметичность соединений газовой магистрали мыльной эмульсией или прибором;</w:t>
      </w:r>
    </w:p>
    <w:p>
      <w:pPr>
        <w:spacing w:line="240" w:lineRule="auto"/>
        <w:rPr>
          <w:rFonts w:hAnsi="Times New Roman" w:cs="Times New Roman"/>
          <w:color w:val="000000"/>
          <w:sz w:val="24"/>
          <w:szCs w:val="24"/>
        </w:rPr>
      </w:pPr>
      <w:r>
        <w:rPr>
          <w:rFonts w:hAnsi="Times New Roman" w:cs="Times New Roman"/>
          <w:color w:val="000000"/>
          <w:sz w:val="24"/>
          <w:szCs w:val="24"/>
        </w:rPr>
        <w:t>– все газовые коммуникации и арматуру очистить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слив масляного конденсата из газового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в зимнее время произвести слив воды из полости испарителя (при заполнении системы охлаждения водой);</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уборочно-моечные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автомобиль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7.2.2.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4e9633e54440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