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на паромах, баржах, железнодорожных платформах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переезду на паромах, баржах, железнодорожных платформах.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09.12.2020 N 871н</w:t>
      </w:r>
      <w:r>
        <w:rPr>
          <w:rFonts w:hAnsi="Times New Roman" w:cs="Times New Roman"/>
          <w:color w:val="000000"/>
          <w:sz w:val="24"/>
          <w:szCs w:val="24"/>
        </w:rPr>
        <w:t xml:space="preserve"> "Об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водителя на паромах, баржах, железнодорожных платформах.</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переезду на паромах, баржах, железнодорожных платформах допускается работник не моложе 18 лет, имеющий водительское удостоверение,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перемещаемых изделий, заготовок,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Режиссер монтажа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работник должен пройти предрейсовый медосмотр и получить отметку в путевом листе; работник,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выездом на паром работник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4.2.2. Работник,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работник должен убедиться, что это безопасно для работников и других посторонних лиц. При движении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въезд транспортных средств на паром, нахождение на нем и выезд транспортных средств с людьми, кроме водителя, а также посадка людей на транспортное средство, находящееся на пароме.</w:t>
      </w:r>
    </w:p>
    <w:p>
      <w:pPr>
        <w:spacing w:line="240" w:lineRule="auto"/>
        <w:rPr>
          <w:rFonts w:hAnsi="Times New Roman" w:cs="Times New Roman"/>
          <w:color w:val="000000"/>
          <w:sz w:val="24"/>
          <w:szCs w:val="24"/>
        </w:rPr>
      </w:pPr>
      <w:r>
        <w:rPr>
          <w:rFonts w:hAnsi="Times New Roman" w:cs="Times New Roman"/>
          <w:color w:val="000000"/>
          <w:sz w:val="24"/>
          <w:szCs w:val="24"/>
        </w:rPr>
        <w:t>После въезда на паром двигатели транспортных средств должны быть выключены. Включение двигателей разрешается только перед выездом транспортных средств с парома.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 пароме должны быть заторможены стояночными тормозами. Под колеса транспортных средств, расположенных у въезда-выезда с парома, должны подкладываться деревянные или сварные металлические клинья либо должны быть предусмотрены конструкции подъемных ограждений, обеспечивающих удержание транспортных средств от падения в воду при их случайной подвижке.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на пароме транспортные средства с дизельными двигателями с включенной передачей.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Переправа колонны транспортных средств должна осуществляться после проведения подготовки, организуемой работником, назначенным работодателем ответственным за соблюдение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Все участники переправы должны быть ознакомлены с местом переправы и мерами безопасности при ее осуществлении.</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встречное движение при переправе;</w:t>
      </w:r>
    </w:p>
    <w:p>
      <w:pPr>
        <w:spacing w:line="240" w:lineRule="auto"/>
        <w:rPr>
          <w:rFonts w:hAnsi="Times New Roman" w:cs="Times New Roman"/>
          <w:color w:val="000000"/>
          <w:sz w:val="24"/>
          <w:szCs w:val="24"/>
        </w:rPr>
      </w:pPr>
      <w:r>
        <w:rPr>
          <w:rFonts w:hAnsi="Times New Roman" w:cs="Times New Roman"/>
          <w:color w:val="000000"/>
          <w:sz w:val="24"/>
          <w:szCs w:val="24"/>
        </w:rPr>
        <w:t>2. переправа через водные преграды любой ширины:</w:t>
      </w:r>
    </w:p>
    <w:p>
      <w:pPr>
        <w:spacing w:line="240" w:lineRule="auto"/>
        <w:rPr>
          <w:rFonts w:hAnsi="Times New Roman" w:cs="Times New Roman"/>
          <w:color w:val="000000"/>
          <w:sz w:val="24"/>
          <w:szCs w:val="24"/>
        </w:rPr>
      </w:pPr>
      <w:r>
        <w:rPr>
          <w:rFonts w:hAnsi="Times New Roman" w:cs="Times New Roman"/>
          <w:color w:val="000000"/>
          <w:sz w:val="24"/>
          <w:szCs w:val="24"/>
        </w:rPr>
        <w:t>в паводки;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ливневого дождя, снегопада, тумана, ледохода;</w:t>
      </w:r>
    </w:p>
    <w:p>
      <w:pPr>
        <w:spacing w:line="240" w:lineRule="auto"/>
        <w:rPr>
          <w:rFonts w:hAnsi="Times New Roman" w:cs="Times New Roman"/>
          <w:color w:val="000000"/>
          <w:sz w:val="24"/>
          <w:szCs w:val="24"/>
        </w:rPr>
      </w:pPr>
      <w:r>
        <w:rPr>
          <w:rFonts w:hAnsi="Times New Roman" w:cs="Times New Roman"/>
          <w:color w:val="000000"/>
          <w:sz w:val="24"/>
          <w:szCs w:val="24"/>
        </w:rPr>
        <w:t>при скорости ветра более 12 м/с.</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дорожно-транспортного происшествия (ДТП) работник,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автомобиля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6.3.2. При необходимости водитель должен оказать первую помощь пострадавшим и вызвать скорую помощь, если это невозможно, то следует отправить пострадавших на попутном автомобиле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6.3.3. Затем необходимо сообщить о случившемся в ГИББД, если есть очевидцы ДТП,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6.3.4. Если ДТП не причинило вреда здоровью людей или существенного материального ущерба, при взаимном согласии в оценке обстоятельств случившегося и отсутствии неисправностей транспортных средств, с которыми их дальнейшее движение запрещено, водители могут прибыть на ближайший пост ГИБДД для оформления ДТП.</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детали, приспособления и инструменты в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7778bfa917c48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