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поливомоечной машины</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поливомоечной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Минтруда России, </w:t>
      </w:r>
      <w:r>
        <w:rPr>
          <w:rFonts w:hAnsi="Times New Roman" w:cs="Times New Roman"/>
          <w:color w:val="000000"/>
          <w:sz w:val="24"/>
          <w:szCs w:val="24"/>
        </w:rPr>
        <w:t>Приказ Минтруда от 29.10.2020 № 758н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поливомоечной машины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покрытия (вследствие обледенения, увлажнения);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по охране труда перед выездом об условиях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водительского удостоверения, регистрационных документов на автомобиль, страхового полиса, путевого листа и иных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техническое состояние и укомплектованность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водитель поливомоечной машины должен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цистерны, дверей кабины, салона, сидений, ремней безопасности, зеркал, лобового стекла, глушителя (герметичность его соединений)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цистерны к раме шасси;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состояние водопроводного и пожарных рукавов;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4.2.2.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водитель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 ответственного за обеспечение соблюдения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на линию машины с неисправными или неотрегулированными прицепными механизмами и спецоборудованием;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подножках, крыльях и других частях машин;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смазку, крепежные и другие работы при работающем двигателе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машину с работающим двигателем;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ключ в замке зажигания транспортного средства при выходе из кабины водителя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и при переездах поливомоечной машины дверцы облицовки должны быть закрыты, шланги для заправки водой уложены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5.1.8. При подаче поливомоечной машины задним ходом к гидранту необходимо убедиться в том, что около гидранта нет посторонних лиц и никому не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5.1.9. Люк колодца для установки гидранта разрешается открывать только с помощью специального ключа.</w:t>
      </w:r>
    </w:p>
    <w:p>
      <w:pPr>
        <w:spacing w:line="240" w:lineRule="auto"/>
        <w:rPr>
          <w:rFonts w:hAnsi="Times New Roman" w:cs="Times New Roman"/>
          <w:color w:val="000000"/>
          <w:sz w:val="24"/>
          <w:szCs w:val="24"/>
        </w:rPr>
      </w:pPr>
      <w:r>
        <w:rPr>
          <w:rFonts w:hAnsi="Times New Roman" w:cs="Times New Roman"/>
          <w:color w:val="000000"/>
          <w:sz w:val="24"/>
          <w:szCs w:val="24"/>
        </w:rPr>
        <w:t>5.1.10. При заправке водой поливомоечной машины около гидранта должен быть установлен предупреждающий дорожный знак, а в ночное время –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5.1.11. Отъезжая от гидранта после заправки поливомоечной машины, водитель обязан удостовериться, что заправочный шланг отсоединен от машины и уложен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поливомоечную машину с неисправным креплением цистерны и неисправным центральным клапаном;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колодцев для установки гидрантов руками без применения специальных ключей;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заправку цистерн водой при работающем двигателе поливомоечной машины;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уровень масла в редукторе центробежного насоса, смазку и подтяжку сальника во время работы насоса.</w:t>
      </w:r>
    </w:p>
    <w:p>
      <w:pPr>
        <w:spacing w:line="240" w:lineRule="auto"/>
        <w:rPr>
          <w:rFonts w:hAnsi="Times New Roman" w:cs="Times New Roman"/>
          <w:color w:val="000000"/>
          <w:sz w:val="24"/>
          <w:szCs w:val="24"/>
        </w:rPr>
      </w:pPr>
      <w:r>
        <w:rPr>
          <w:rFonts w:hAnsi="Times New Roman" w:cs="Times New Roman"/>
          <w:color w:val="000000"/>
          <w:sz w:val="24"/>
          <w:szCs w:val="24"/>
        </w:rPr>
        <w:t>5.1.13. При движении на транспортном средстве, оборудованном ремнями безопасности, водитель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5.1.14. 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5.1.16. Пуск двигателя автомобиля производить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5.1.17. 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5.1.18.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5.1.19.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5.1.20. 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5.1.21.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остановке автомобиля должна быть исключена возможность его самопроизвольного движения следующим образом: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транспортное средство заторможено стояночным тормозом;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 колесо грузового транспортного средства установлены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5.1.23.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5.1.24.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5.1.25.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5.1.26.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5.1.27.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приказом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5.1.30. Перед подъемом части автомобиля домкратом необходимо остановить двигатель, затормозить автомобиль стояночным тормозом,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5.1.31.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5.1.32. 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5.1.35.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5.1.37.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5.1.38.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помещениях, предназначенных для стоянки транспортных средств, а также на стоянках под навесом или на площадках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5.2.2.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5.2.4.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5.2.5. При выполнении работ водителю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(водителей других автомобилей, прохожих);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ДТП;</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автомобиля,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60e1b2f0cc443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