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врача-эмбриолога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врача-эмбриолога.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врачом-эмбриологом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при работе с электрооборудованием;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инфицирование от больных, а также при работе с вирусоносителями;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перенапряжение;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попадание на открытые участки кожи и (или) слизистые оболочки лекарственных препаратов,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Проходы между оборудованием и элементами производственного помещения (стена, колонна и т. п.) должны быть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Инструменты и приспособления на рабочем месте должны храниться в специальных шкафах и уложены в должном порядке, а при переноске – в сумках или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запрещается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исправное оборудование, инструмент, приспособления и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работать с незаземленным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аппаратах, приборах, устройствах с неисправными приспособлениями, сигнализацией, вентиляцией;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 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запах используемые препараты;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отключении систем водоснабжения, канализации 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предохранительных устройств;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на рабочих местах пищевые продукты, домашнюю одежду и другие предметы, не имеющие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5.1.6. Уровень освещенности, создаваемый местным источником, не должен превышать уровень общего освещения более чем в 10 раз. Светильники местного и общего освещения должны иметь соответствующую защитную арматуру, предохраняющую органы зрения.</w:t>
      </w:r>
    </w:p>
    <w:p>
      <w:pPr>
        <w:spacing w:line="240" w:lineRule="auto"/>
        <w:rPr>
          <w:rFonts w:hAnsi="Times New Roman" w:cs="Times New Roman"/>
          <w:color w:val="000000"/>
          <w:sz w:val="24"/>
          <w:szCs w:val="24"/>
        </w:rPr>
      </w:pPr>
      <w:r>
        <w:rPr>
          <w:rFonts w:hAnsi="Times New Roman" w:cs="Times New Roman"/>
          <w:color w:val="000000"/>
          <w:sz w:val="24"/>
          <w:szCs w:val="24"/>
        </w:rPr>
        <w:t>5.1.7. Перед и после каждой манипуляции или любого другого контакта с больным мыть руки теплой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5.1.8. Мыть руки водой комнатной температуры не ниже +20 °С до и после приема каждого пациента. Тщательно сушить кожу рук после мытья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5.1.9.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просьбам пациентов, деликатность, культуру общения. Необходимо исключить все поводы для агрессивного поведения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при осмотре и обследовании пациента препараты без этикеток;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применяемые препараты;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отключении систем водоснабжения, вентиляции, канализации;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нормативными актами санитарной одежды и других средств индивидуальной защиты;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5.2.2. При осмотре больных пользоваться марлевой повязкой.</w:t>
      </w:r>
    </w:p>
    <w:p>
      <w:pPr>
        <w:spacing w:line="240" w:lineRule="auto"/>
        <w:rPr>
          <w:rFonts w:hAnsi="Times New Roman" w:cs="Times New Roman"/>
          <w:color w:val="000000"/>
          <w:sz w:val="24"/>
          <w:szCs w:val="24"/>
        </w:rPr>
      </w:pPr>
      <w:r>
        <w:rPr>
          <w:rFonts w:hAnsi="Times New Roman" w:cs="Times New Roman"/>
          <w:color w:val="000000"/>
          <w:sz w:val="24"/>
          <w:szCs w:val="24"/>
        </w:rPr>
        <w:t>5.2.3. Не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5.2.4.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5.2.5.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медикаментами.</w:t>
      </w:r>
    </w:p>
    <w:p>
      <w:pPr>
        <w:spacing w:line="240" w:lineRule="auto"/>
        <w:rPr>
          <w:rFonts w:hAnsi="Times New Roman" w:cs="Times New Roman"/>
          <w:color w:val="000000"/>
          <w:sz w:val="24"/>
          <w:szCs w:val="24"/>
        </w:rPr>
      </w:pPr>
      <w:r>
        <w:rPr>
          <w:rFonts w:hAnsi="Times New Roman" w:cs="Times New Roman"/>
          <w:color w:val="000000"/>
          <w:sz w:val="24"/>
          <w:szCs w:val="24"/>
        </w:rPr>
        <w:t>5.2.6. Быть внимательным, осторожным и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5.2.7. При эксплуатации оборудования руководствоваться инструкцией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руководству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принять меры к ликвидации пожара с помощью имеющихся первичных средств пожаротушения, поставить в известность руководство. При необходимости вызвать пожарную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электропитания оборудование и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следует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673af3d77d748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