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врача-химика отделения лабораторных исследований</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врача-химика отделения лабораторных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врачом-химиком отделения лабораторных исследований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отравление;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термические и химические ожоги;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поражение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наличие дегазирующих средств,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исправность оборудования (вентиляционных установок, электрооборудования), включить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исправность приборов на рабочем месте и наличие четких надписей на бутылях и склянках.</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целость стеклянной посуды, бюреток, пипеток, исправность электроприборов и их заземление, достаточность реактивов и реагентов.</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освещение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4.4.3. Запрещается пользоваться неисправными приборами и лабораторным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Помещения лаборатории должны содержаться в чистоте и порядке. Запрещается загромождать коридоры и входы (выходы) какими-либо предметами, материалами,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5.1.2. Все работы, связанные с выделением токсичных или пожаровзрывоопасных паров и газов, должны выполняться только в вытяжных шкафах при включенной местной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 пользоваться вытяжными шкафами с разбитыми стеклами или при неисправной вентиляции, а также загромождать вытяжные шкафы посудой, приборами и лабораторным оборудованием, не связанным с выполняемой работой.</w:t>
      </w:r>
    </w:p>
    <w:p>
      <w:pPr>
        <w:spacing w:line="240" w:lineRule="auto"/>
        <w:rPr>
          <w:rFonts w:hAnsi="Times New Roman" w:cs="Times New Roman"/>
          <w:color w:val="000000"/>
          <w:sz w:val="24"/>
          <w:szCs w:val="24"/>
        </w:rPr>
      </w:pPr>
      <w:r>
        <w:rPr>
          <w:rFonts w:hAnsi="Times New Roman" w:cs="Times New Roman"/>
          <w:color w:val="000000"/>
          <w:sz w:val="24"/>
          <w:szCs w:val="24"/>
        </w:rPr>
        <w:t>5.1.4. Легковоспламеняющиеся растворители, реактивы должны храниться и специальном помещении, расположенном вне лаборатории и оборудованном вытяжной вентиляцией и отвечающем правилам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5.1.5. В лаборатории допускается хранение необходимых для работы реактивов в количествах, не превышающих суточной потребности.</w:t>
      </w:r>
    </w:p>
    <w:p>
      <w:pPr>
        <w:spacing w:line="240" w:lineRule="auto"/>
        <w:rPr>
          <w:rFonts w:hAnsi="Times New Roman" w:cs="Times New Roman"/>
          <w:color w:val="000000"/>
          <w:sz w:val="24"/>
          <w:szCs w:val="24"/>
        </w:rPr>
      </w:pPr>
      <w:r>
        <w:rPr>
          <w:rFonts w:hAnsi="Times New Roman" w:cs="Times New Roman"/>
          <w:color w:val="000000"/>
          <w:sz w:val="24"/>
          <w:szCs w:val="24"/>
        </w:rPr>
        <w:t>5.1.6. С разрешения руководителя работ допускается хранение в вытяжных шкафах дымящихся кислот, легкоиспаряющихся реактивов и растворителей, при этом проводить анализы в этих шкафах запрещается. Если в лаборатории имеется один вытяжной шкаф, то вышеуказанные реактивы хранят в специально отведенном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5.1.7. Для хранения проб и реактивов используется только герметично закрывающаяся посуда. Запрещается хранение горючих жидкостей в тонкостенной стеклянной посуде.</w:t>
      </w:r>
    </w:p>
    <w:p>
      <w:pPr>
        <w:spacing w:line="240" w:lineRule="auto"/>
        <w:rPr>
          <w:rFonts w:hAnsi="Times New Roman" w:cs="Times New Roman"/>
          <w:color w:val="000000"/>
          <w:sz w:val="24"/>
          <w:szCs w:val="24"/>
        </w:rPr>
      </w:pPr>
      <w:r>
        <w:rPr>
          <w:rFonts w:hAnsi="Times New Roman" w:cs="Times New Roman"/>
          <w:color w:val="000000"/>
          <w:sz w:val="24"/>
          <w:szCs w:val="24"/>
        </w:rPr>
        <w:t>5.1.8. На каждый сосуд с химическим веществом должна быть наклеена этикетка с указанием продукта.</w:t>
      </w:r>
    </w:p>
    <w:p>
      <w:pPr>
        <w:spacing w:line="240" w:lineRule="auto"/>
        <w:rPr>
          <w:rFonts w:hAnsi="Times New Roman" w:cs="Times New Roman"/>
          <w:color w:val="000000"/>
          <w:sz w:val="24"/>
          <w:szCs w:val="24"/>
        </w:rPr>
      </w:pPr>
      <w:r>
        <w:rPr>
          <w:rFonts w:hAnsi="Times New Roman" w:cs="Times New Roman"/>
          <w:color w:val="000000"/>
          <w:sz w:val="24"/>
          <w:szCs w:val="24"/>
        </w:rPr>
        <w:t>5.1.9. Легковоспламеняющиеся жидкости перед анализом, требующим нагрева, должны быть предварительно обезвожены во избежание вспенивания и разбрызгивания. Нагрев и кипячение легковоспламеняющихся жидкостей в лаборатории допускается только в водяной бане или на электрической плите закрытого типа.</w:t>
      </w:r>
    </w:p>
    <w:p>
      <w:pPr>
        <w:spacing w:line="240" w:lineRule="auto"/>
        <w:rPr>
          <w:rFonts w:hAnsi="Times New Roman" w:cs="Times New Roman"/>
          <w:color w:val="000000"/>
          <w:sz w:val="24"/>
          <w:szCs w:val="24"/>
        </w:rPr>
      </w:pPr>
      <w:r>
        <w:rPr>
          <w:rFonts w:hAnsi="Times New Roman" w:cs="Times New Roman"/>
          <w:color w:val="000000"/>
          <w:sz w:val="24"/>
          <w:szCs w:val="24"/>
        </w:rPr>
        <w:t>5.1.10. Нагревать легковоспламеняющиеся жидкости на открытом огне, а также на открытых электрических плитах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5.1.11. Бачки, бутыли и другие емкости для хранения агрессивных жидкостей не допускается оставлять временно и устанавливать на рабочих столах, в проходах и местах общего пользования. Места нахождения емкостей с агрессивными жидкостями должны быть обеспечены местной 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5.1.12. Переносить емкости с агрессивными жидкостями следует вдвоем с использованием механизированных приспособлений, на специальных носилках, в корзинах с двойным дном.</w:t>
      </w:r>
    </w:p>
    <w:p>
      <w:pPr>
        <w:spacing w:line="240" w:lineRule="auto"/>
        <w:rPr>
          <w:rFonts w:hAnsi="Times New Roman" w:cs="Times New Roman"/>
          <w:color w:val="000000"/>
          <w:sz w:val="24"/>
          <w:szCs w:val="24"/>
        </w:rPr>
      </w:pPr>
      <w:r>
        <w:rPr>
          <w:rFonts w:hAnsi="Times New Roman" w:cs="Times New Roman"/>
          <w:color w:val="000000"/>
          <w:sz w:val="24"/>
          <w:szCs w:val="24"/>
        </w:rPr>
        <w:t>5.1.13. При переливании и порционном розливе агрессивных жидкостей необходимо пользоваться специальными безопасными воронками с загнутыми краями и воздухоотводящими трубками. В случае перелива жидкость должна быть нейтрализована и место разлива хорошо промыто водой.</w:t>
      </w:r>
    </w:p>
    <w:p>
      <w:pPr>
        <w:spacing w:line="240" w:lineRule="auto"/>
        <w:rPr>
          <w:rFonts w:hAnsi="Times New Roman" w:cs="Times New Roman"/>
          <w:color w:val="000000"/>
          <w:sz w:val="24"/>
          <w:szCs w:val="24"/>
        </w:rPr>
      </w:pPr>
      <w:r>
        <w:rPr>
          <w:rFonts w:hAnsi="Times New Roman" w:cs="Times New Roman"/>
          <w:color w:val="000000"/>
          <w:sz w:val="24"/>
          <w:szCs w:val="24"/>
        </w:rPr>
        <w:t>5.1.14. Место розлива и разведения кислот и щелочей, а также места их применения должны быть оборудованы местной вытяжной вентиляцией, обеспечены чистой ветошью и полотенцем, водяным гидрантом с резиновым шлангом для мытья рук и фонтанчиком для промывания глаз.</w:t>
      </w:r>
    </w:p>
    <w:p>
      <w:pPr>
        <w:spacing w:line="240" w:lineRule="auto"/>
        <w:rPr>
          <w:rFonts w:hAnsi="Times New Roman" w:cs="Times New Roman"/>
          <w:color w:val="000000"/>
          <w:sz w:val="24"/>
          <w:szCs w:val="24"/>
        </w:rPr>
      </w:pPr>
      <w:r>
        <w:rPr>
          <w:rFonts w:hAnsi="Times New Roman" w:cs="Times New Roman"/>
          <w:color w:val="000000"/>
          <w:sz w:val="24"/>
          <w:szCs w:val="24"/>
        </w:rPr>
        <w:t>5.1.15. При работе с кислотами и щелочами необходимо пользоваться резиновыми перчатками и надевать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5.1.16. Кислоту, щелочь и другие едкие или токсичные жидкости разрешается набирать в пипетку только при помощи резиновой груши.</w:t>
      </w:r>
    </w:p>
    <w:p>
      <w:pPr>
        <w:spacing w:line="240" w:lineRule="auto"/>
        <w:rPr>
          <w:rFonts w:hAnsi="Times New Roman" w:cs="Times New Roman"/>
          <w:color w:val="000000"/>
          <w:sz w:val="24"/>
          <w:szCs w:val="24"/>
        </w:rPr>
      </w:pPr>
      <w:r>
        <w:rPr>
          <w:rFonts w:hAnsi="Times New Roman" w:cs="Times New Roman"/>
          <w:color w:val="000000"/>
          <w:sz w:val="24"/>
          <w:szCs w:val="24"/>
        </w:rPr>
        <w:t>5.1.17. При разбавлении серной кислоты необходимо ее вливать тонкой струей в холодную воду при одновременном перемешивании раствора. Наливать воду в кислоту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5.1.18. Пролитую кислоту следует засыпать мелким песком. Пропитавшийся кислотой песок необходимо убрать деревянной лопаткой, а место, где была разлита кислота, засыпать содой или известью, после чего замыть водой и вытереть насухо.</w:t>
      </w:r>
    </w:p>
    <w:p>
      <w:pPr>
        <w:spacing w:line="240" w:lineRule="auto"/>
        <w:rPr>
          <w:rFonts w:hAnsi="Times New Roman" w:cs="Times New Roman"/>
          <w:color w:val="000000"/>
          <w:sz w:val="24"/>
          <w:szCs w:val="24"/>
        </w:rPr>
      </w:pPr>
      <w:r>
        <w:rPr>
          <w:rFonts w:hAnsi="Times New Roman" w:cs="Times New Roman"/>
          <w:color w:val="000000"/>
          <w:sz w:val="24"/>
          <w:szCs w:val="24"/>
        </w:rPr>
        <w:t>5.1.19. Измельчение едких и ядовитых веществ должно производиться в закрытых ступках под тягой. Врач-химик отделения лабораторных исследований, производящий эту операцию, должен быть в защитных очках и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5.1.20. Все ядовитые вещества должны быть на строгом учете. Выдача их без разрешения руководителя лаборатории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5.1.21. Отработанные реактивы и ядовитые вещества сливаются в специальную металлическую посуду и передаются для регенерации или уничтожения. Сливать эти жидкости в бытовую канализацию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5.1.22. Сливать остатки щелочи, кислоты и воду в один сосуд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5.1.23. Лабораторную посуду следует мыть в специальном моечном помещении, отделенном от других рабочих помещений лаборатории глухой несгораемой перегородкой и имеющем самостоятельный выход.</w:t>
      </w:r>
    </w:p>
    <w:p>
      <w:pPr>
        <w:spacing w:line="240" w:lineRule="auto"/>
        <w:rPr>
          <w:rFonts w:hAnsi="Times New Roman" w:cs="Times New Roman"/>
          <w:color w:val="000000"/>
          <w:sz w:val="24"/>
          <w:szCs w:val="24"/>
        </w:rPr>
      </w:pPr>
      <w:r>
        <w:rPr>
          <w:rFonts w:hAnsi="Times New Roman" w:cs="Times New Roman"/>
          <w:color w:val="000000"/>
          <w:sz w:val="24"/>
          <w:szCs w:val="24"/>
        </w:rPr>
        <w:t>5.1.24. Моечное помещение должно быть оборудовано самостоятельной приточно-вытяжной вентиляцией и вытяжной вентиляцией от места мытья посуды.</w:t>
      </w:r>
    </w:p>
    <w:p>
      <w:pPr>
        <w:spacing w:line="240" w:lineRule="auto"/>
        <w:rPr>
          <w:rFonts w:hAnsi="Times New Roman" w:cs="Times New Roman"/>
          <w:color w:val="000000"/>
          <w:sz w:val="24"/>
          <w:szCs w:val="24"/>
        </w:rPr>
      </w:pPr>
      <w:r>
        <w:rPr>
          <w:rFonts w:hAnsi="Times New Roman" w:cs="Times New Roman"/>
          <w:color w:val="000000"/>
          <w:sz w:val="24"/>
          <w:szCs w:val="24"/>
        </w:rPr>
        <w:t>5.1.25. Сдавать на мойку посуду из-под крепких кислот и других едких и ядовитых продуктов разрешается только после полного освобождения посуды и ее нейтрализации.</w:t>
      </w:r>
    </w:p>
    <w:p>
      <w:pPr>
        <w:spacing w:line="240" w:lineRule="auto"/>
        <w:rPr>
          <w:rFonts w:hAnsi="Times New Roman" w:cs="Times New Roman"/>
          <w:color w:val="000000"/>
          <w:sz w:val="24"/>
          <w:szCs w:val="24"/>
        </w:rPr>
      </w:pPr>
      <w:r>
        <w:rPr>
          <w:rFonts w:hAnsi="Times New Roman" w:cs="Times New Roman"/>
          <w:color w:val="000000"/>
          <w:sz w:val="24"/>
          <w:szCs w:val="24"/>
        </w:rPr>
        <w:t>5.1.26. При переносе стеклянных колб с жидкостью их необходимо держать двумя руками: одной – за дно, а другой – за горловину.</w:t>
      </w:r>
    </w:p>
    <w:p>
      <w:pPr>
        <w:spacing w:line="240" w:lineRule="auto"/>
        <w:rPr>
          <w:rFonts w:hAnsi="Times New Roman" w:cs="Times New Roman"/>
          <w:color w:val="000000"/>
          <w:sz w:val="24"/>
          <w:szCs w:val="24"/>
        </w:rPr>
      </w:pPr>
      <w:r>
        <w:rPr>
          <w:rFonts w:hAnsi="Times New Roman" w:cs="Times New Roman"/>
          <w:color w:val="000000"/>
          <w:sz w:val="24"/>
          <w:szCs w:val="24"/>
        </w:rPr>
        <w:t>5.1.27. Стеклянные трубки и палочки при разламывании, а также при надевании на них резиновых трубок следует обертывать тканью (полотенцем). Неровные и острые концы стеклянных трубок и палочек перед надеванием на них резиновых трубочек следует оплавить и смочить водой или глицерином.</w:t>
      </w:r>
    </w:p>
    <w:p>
      <w:pPr>
        <w:spacing w:line="240" w:lineRule="auto"/>
        <w:rPr>
          <w:rFonts w:hAnsi="Times New Roman" w:cs="Times New Roman"/>
          <w:color w:val="000000"/>
          <w:sz w:val="24"/>
          <w:szCs w:val="24"/>
        </w:rPr>
      </w:pPr>
      <w:r>
        <w:rPr>
          <w:rFonts w:hAnsi="Times New Roman" w:cs="Times New Roman"/>
          <w:color w:val="000000"/>
          <w:sz w:val="24"/>
          <w:szCs w:val="24"/>
        </w:rPr>
        <w:t>5.1.28. При закреплении стеклянных трубок в пробках необходимо трубку держать ближе к тому концу, который вставляется в пробку.</w:t>
      </w:r>
    </w:p>
    <w:p>
      <w:pPr>
        <w:spacing w:line="240" w:lineRule="auto"/>
        <w:rPr>
          <w:rFonts w:hAnsi="Times New Roman" w:cs="Times New Roman"/>
          <w:color w:val="000000"/>
          <w:sz w:val="24"/>
          <w:szCs w:val="24"/>
        </w:rPr>
      </w:pPr>
      <w:r>
        <w:rPr>
          <w:rFonts w:hAnsi="Times New Roman" w:cs="Times New Roman"/>
          <w:color w:val="000000"/>
          <w:sz w:val="24"/>
          <w:szCs w:val="24"/>
        </w:rPr>
        <w:t>5.1.29. Для облегчения прохождения трубки отверстие в пробке следует смачивать глицерином или водой.</w:t>
      </w:r>
    </w:p>
    <w:p>
      <w:pPr>
        <w:spacing w:line="240" w:lineRule="auto"/>
        <w:rPr>
          <w:rFonts w:hAnsi="Times New Roman" w:cs="Times New Roman"/>
          <w:color w:val="000000"/>
          <w:sz w:val="24"/>
          <w:szCs w:val="24"/>
        </w:rPr>
      </w:pPr>
      <w:r>
        <w:rPr>
          <w:rFonts w:hAnsi="Times New Roman" w:cs="Times New Roman"/>
          <w:color w:val="000000"/>
          <w:sz w:val="24"/>
          <w:szCs w:val="24"/>
        </w:rPr>
        <w:t>5.1.30. В помещении, где проводятся работы с ядовитыми и агрессивными веществами, запрещается хранение и прием пищи.</w:t>
      </w:r>
    </w:p>
    <w:p>
      <w:pPr>
        <w:spacing w:line="240" w:lineRule="auto"/>
        <w:rPr>
          <w:rFonts w:hAnsi="Times New Roman" w:cs="Times New Roman"/>
          <w:color w:val="000000"/>
          <w:sz w:val="24"/>
          <w:szCs w:val="24"/>
        </w:rPr>
      </w:pPr>
      <w:r>
        <w:rPr>
          <w:rFonts w:hAnsi="Times New Roman" w:cs="Times New Roman"/>
          <w:color w:val="000000"/>
          <w:sz w:val="24"/>
          <w:szCs w:val="24"/>
        </w:rPr>
        <w:t>5.1.31. Нельзя допускать употребления лабораторной посуды для личного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5.1.32. Руки следует мыть теплой водой с мылом и вытирать насухо полотенцем.</w:t>
      </w:r>
    </w:p>
    <w:p>
      <w:pPr>
        <w:spacing w:line="240" w:lineRule="auto"/>
        <w:rPr>
          <w:rFonts w:hAnsi="Times New Roman" w:cs="Times New Roman"/>
          <w:color w:val="000000"/>
          <w:sz w:val="24"/>
          <w:szCs w:val="24"/>
        </w:rPr>
      </w:pPr>
      <w:r>
        <w:rPr>
          <w:rFonts w:hAnsi="Times New Roman" w:cs="Times New Roman"/>
          <w:color w:val="000000"/>
          <w:sz w:val="24"/>
          <w:szCs w:val="24"/>
        </w:rPr>
        <w:t>5.1.33. В помещении лаборатории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мыть полы, лабораторные столы бензином, керосином и другими легковоспламеняющимися жидкостями;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неубранными разлитые реактивы;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убирать разлитые огнеопасные и легковоспламеняющиеся жидкости при горящих горелках и включенных электронагревательных приборах. Отключение необходимо производить рубильником, находящимся вне рабочей комнаты;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стирать и чистить одежду легковоспламеняющимися жидкостями;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открытым огнем, курить;</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находиться посторонним лицам.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осмотреть и выключить оборудование, привести в порядок рабочую зону.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оснастку, материалы, обтирочный материал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7abb9e0a0f440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