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клиники по коррекции зрения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клиники по коррекции зрения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клиники по коррекции зрения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клиники по коррекции зрения;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клиники по коррекции зрения;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клиники по коррекции зрения;</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клиники по коррекции зрения.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клиники по коррекции зрения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в медицинских организациях, </w:t>
      </w:r>
      <w:r>
        <w:rPr>
          <w:rFonts w:hAnsi="Times New Roman" w:cs="Times New Roman"/>
          <w:color w:val="000000"/>
          <w:sz w:val="24"/>
          <w:szCs w:val="24"/>
        </w:rPr>
        <w:t>Приказ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выполнении работ врачом клиники по коррекции зрения.</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допускаются лица не моложе 18 лет, не имеющие медицинских противопоказаний и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w:t>
      </w:r>
      <w:r>
        <w:rPr>
          <w:rFonts w:hAnsi="Times New Roman" w:cs="Times New Roman"/>
          <w:color w:val="000000"/>
          <w:sz w:val="24"/>
          <w:szCs w:val="24"/>
        </w:rPr>
        <w:t>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колющие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врач клиники по коррекции зрения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4.1.5. Перед использованием медицинского оборудования врач клиники по коррекции зрения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убедиться в достаточности освещения медицинского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4.4.2. Врач клиники по коррекции зрения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приступать к выполнению работ при наличии следующих нарушений требований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подключении изделий медицинской техники запрещается использование переходников и удлинителей.</w:t>
      </w:r>
    </w:p>
    <w:p>
      <w:pPr>
        <w:spacing w:line="240" w:lineRule="auto"/>
        <w:rPr>
          <w:rFonts w:hAnsi="Times New Roman" w:cs="Times New Roman"/>
          <w:color w:val="000000"/>
          <w:sz w:val="24"/>
          <w:szCs w:val="24"/>
        </w:rPr>
      </w:pPr>
      <w:r>
        <w:rPr>
          <w:rFonts w:hAnsi="Times New Roman" w:cs="Times New Roman"/>
          <w:color w:val="000000"/>
          <w:sz w:val="24"/>
          <w:szCs w:val="24"/>
        </w:rPr>
        <w:t>5.1.7. Врачу клиники по коррекции зрения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электрообогреватели без защитных ограждающих устройств и другое электрооборудование,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Врачу клиники по коррекции зрения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5.1.11.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5.1.12.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работ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необученных посторонних лиц;</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оборудования включенным после выполнения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допускается во время медицинских процедур: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негодный инструментарий;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неисправных аппаратах, приборах, устройствах с неисправными приспособлениями, сигнализацией, при отсутствии заземления, имеющими нештатное электросоединение;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аппараты и приборы, не прошедшие в установленном порядке стерилизацию и дезинфекцию;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отключенных системах постоянного электроснабжения, водоснабжения, канализации, вентиляции, за исключением аварийных (внештатных)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специальной одежды,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и вращающимся частям аппаратов с принудительным приводом;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пациентов без медицинского надзора во время и непосредственно после процедур;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помещения неиспользуемой аппаратурой и мебелью;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вещества и лекарственные средства без этикеток, из поврежденной упаковки или тары;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на рабочем месте лекарства, препараты, изделия, не используемые в конкретной процедуре;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вести посторонние разговоры по телефону, переписываться посредством мобильных средств коммуникации.</w:t>
      </w:r>
    </w:p>
    <w:p>
      <w:pPr>
        <w:spacing w:line="240" w:lineRule="auto"/>
        <w:rPr>
          <w:rFonts w:hAnsi="Times New Roman" w:cs="Times New Roman"/>
          <w:color w:val="000000"/>
          <w:sz w:val="24"/>
          <w:szCs w:val="24"/>
        </w:rPr>
      </w:pPr>
      <w:r>
        <w:rPr>
          <w:rFonts w:hAnsi="Times New Roman" w:cs="Times New Roman"/>
          <w:color w:val="000000"/>
          <w:sz w:val="24"/>
          <w:szCs w:val="24"/>
        </w:rPr>
        <w:t>5.1.15. При обнаружении неисправности в процессе эксплуатации аппаратов врач клиники по коррекции зрения должен немедленно отключить аппарат от сети и сделать соответствующую запись в журнале технического обслуживания, доложить заведующему отделением. Продолжать работу следует только после устранения неисправности и наличия в паспорте аппарата соответствующей записи инженера или иного уполномоченного лица о возможности безопасной эксплуатации оборудования. Врачу клиники по коррекции зрения запрещается самостоятельно ремонтировать и регулировать электрическое оборудование, оборудование системы кондиционирования воздуха, радиооборудование, установку пожарной сигнализации (УПС).</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с биологическими жидкостями персоналом должны соблюдаться меры безопасности, предусмотренные нормативными документами, исключающие возможность инфицирования персонала вирусными и другими инфекциями, передающимися через кровь и другие биологические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5.1.17. По окончании медицинской процедуры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тепловую и химическую дезинфекцию аппарата в соответствии с установленными требованиями;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привести аппарат в состояние, оговоренное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5.1.18. По окончании рабочего дня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проведение влажной уборки всех помещений с использованием разрешенных антисептиков и дезинфектантов;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наличии - включить ультрафиолетовые облучатели в помещениях.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воздуха;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получения травмы или ухудшения самочувствия транспортировщик должен прекратить работу, поставить в известность руководство и обратиться в медпункт или вызвать скорую помощь по телефону 103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f20df1e6f5944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