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заливщика камнелитейных 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заливщика камнелитейных изделий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заливщика камнелитейных изделий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заливщика камнелитейных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заливщика камнелитейных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с работниками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заливщика.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заливщиков камнелитейных изделий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заливщиков камнелитейных изделий (далее - заливщики).</w:t>
      </w:r>
    </w:p>
    <w:p>
      <w:pPr>
        <w:spacing w:line="240" w:lineRule="auto"/>
        <w:rPr>
          <w:rFonts w:hAnsi="Times New Roman" w:cs="Times New Roman"/>
          <w:color w:val="000000"/>
          <w:sz w:val="24"/>
          <w:szCs w:val="24"/>
        </w:rPr>
      </w:pPr>
      <w:r>
        <w:rPr>
          <w:rFonts w:hAnsi="Times New Roman" w:cs="Times New Roman"/>
          <w:color w:val="000000"/>
          <w:sz w:val="24"/>
          <w:szCs w:val="24"/>
        </w:rPr>
        <w:t>3.2. Заливщику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заливщиком,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Заливщик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Заливщик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заливщика могут воздействовать следующие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перемещающееся транспортное и грузоподъемное оборудование и транспортируемые грузы;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форм под заливку расплава, готовых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напряжение в электрической цепи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яркости света и инфракрасной радиации при открытых рабочих зонах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 уборке производственных и служебных помещений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Заливщик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работу местной вытяжной вентиляции (системы пылегазоулавливания).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оборудования (в т.ч. грузоподъемного), контрольно-измерительных приборов, наличие и исправность (целостность) заливочных форм,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4.4.8. Убедиться, что весь персонал находится на безопасном расстоянии вне рабочей зоны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работу силовой установки, произвести пробный ее запуск.</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4.4.11. Заливщику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 (системы пылегазоулавливания);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Технологический процесс должен выполняться только на том оборудовании, которое указано в технологической документации, и по технологическим режимам в пределах допустимых параметров без его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На оборудовании должна быть обеспечена установка только той оснастки, которая указана в технологической карте на данную операцию. Крепление ее должно быть надежным, исключающим смещение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заливщику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нагревательным 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ведении процесса плавки и заливки форм расплавом, отборе проб расплава, выемке, укладке, транспортировке, разбраковке готовых изделий, охлаждении форм до требуемой температуры,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Транспортировка расплава к месту заливки должна выполняться по заранее установленным маршрутам.</w:t>
      </w:r>
    </w:p>
    <w:p>
      <w:pPr>
        <w:spacing w:line="240" w:lineRule="auto"/>
        <w:rPr>
          <w:rFonts w:hAnsi="Times New Roman" w:cs="Times New Roman"/>
          <w:color w:val="000000"/>
          <w:sz w:val="24"/>
          <w:szCs w:val="24"/>
        </w:rPr>
      </w:pPr>
      <w:r>
        <w:rPr>
          <w:rFonts w:hAnsi="Times New Roman" w:cs="Times New Roman"/>
          <w:color w:val="000000"/>
          <w:sz w:val="24"/>
          <w:szCs w:val="24"/>
        </w:rPr>
        <w:t>5.1.10. Наполнение формы расплавом должно производиться до уровня, не выше предусмотренного 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перемещении форм с расплавом должны быть приняты меры, исключающие их опрокидывание или разбрызгивание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Максимальная высота верхнего уровня заливочной чаши от уровня заливочной площадки не должна превышать 0,7 м.</w:t>
      </w:r>
    </w:p>
    <w:p>
      <w:pPr>
        <w:spacing w:line="240" w:lineRule="auto"/>
        <w:rPr>
          <w:rFonts w:hAnsi="Times New Roman" w:cs="Times New Roman"/>
          <w:color w:val="000000"/>
          <w:sz w:val="24"/>
          <w:szCs w:val="24"/>
        </w:rPr>
      </w:pPr>
      <w:r>
        <w:rPr>
          <w:rFonts w:hAnsi="Times New Roman" w:cs="Times New Roman"/>
          <w:color w:val="000000"/>
          <w:sz w:val="24"/>
          <w:szCs w:val="24"/>
        </w:rPr>
        <w:t>По всей длине заливочной площадки со стороны конвейера должна быть отбортовка, исключающая попадание брызг металла на заливщика. Подъем на заливочную площадку и спуск с нее должен быть выполнен в виде пандуса с углом подъема не более 5°.</w:t>
      </w:r>
    </w:p>
    <w:p>
      <w:pPr>
        <w:spacing w:line="240" w:lineRule="auto"/>
        <w:rPr>
          <w:rFonts w:hAnsi="Times New Roman" w:cs="Times New Roman"/>
          <w:color w:val="000000"/>
          <w:sz w:val="24"/>
          <w:szCs w:val="24"/>
        </w:rPr>
      </w:pPr>
      <w:r>
        <w:rPr>
          <w:rFonts w:hAnsi="Times New Roman" w:cs="Times New Roman"/>
          <w:color w:val="000000"/>
          <w:sz w:val="24"/>
          <w:szCs w:val="24"/>
        </w:rPr>
        <w:t>5.1.12. При заливке парноопочных форм на плацу их установка должна быть осуществлена с обеспечением свободного доступа к цапфам и местам скрепления и центрирования опок.</w:t>
      </w:r>
    </w:p>
    <w:p>
      <w:pPr>
        <w:spacing w:line="240" w:lineRule="auto"/>
        <w:rPr>
          <w:rFonts w:hAnsi="Times New Roman" w:cs="Times New Roman"/>
          <w:color w:val="000000"/>
          <w:sz w:val="24"/>
          <w:szCs w:val="24"/>
        </w:rPr>
      </w:pPr>
      <w:r>
        <w:rPr>
          <w:rFonts w:hAnsi="Times New Roman" w:cs="Times New Roman"/>
          <w:color w:val="000000"/>
          <w:sz w:val="24"/>
          <w:szCs w:val="24"/>
        </w:rPr>
        <w:t>Мелкие формы в ручных опоках без скрепления разрешается устанавливать двойными рядами (в каждом ряду по ширине устанавливаются по две формы). Расстояние между формами в ряду должно быть не менее 40 мм.</w:t>
      </w:r>
    </w:p>
    <w:p>
      <w:pPr>
        <w:spacing w:line="240" w:lineRule="auto"/>
        <w:rPr>
          <w:rFonts w:hAnsi="Times New Roman" w:cs="Times New Roman"/>
          <w:color w:val="000000"/>
          <w:sz w:val="24"/>
          <w:szCs w:val="24"/>
        </w:rPr>
      </w:pPr>
      <w:r>
        <w:rPr>
          <w:rFonts w:hAnsi="Times New Roman" w:cs="Times New Roman"/>
          <w:color w:val="000000"/>
          <w:sz w:val="24"/>
          <w:szCs w:val="24"/>
        </w:rPr>
        <w:t>Между рядами форм должен быть проход шириной не менее 800 мм. Такой же ширины должны быть поперечные проходы, устраиваемые через каждые 10-12 м длины рядов форм.</w:t>
      </w:r>
    </w:p>
    <w:p>
      <w:pPr>
        <w:spacing w:line="240" w:lineRule="auto"/>
        <w:rPr>
          <w:rFonts w:hAnsi="Times New Roman" w:cs="Times New Roman"/>
          <w:color w:val="000000"/>
          <w:sz w:val="24"/>
          <w:szCs w:val="24"/>
        </w:rPr>
      </w:pPr>
      <w:r>
        <w:rPr>
          <w:rFonts w:hAnsi="Times New Roman" w:cs="Times New Roman"/>
          <w:color w:val="000000"/>
          <w:sz w:val="24"/>
          <w:szCs w:val="24"/>
        </w:rPr>
        <w:t>5.1.13. Формы в опоках, имеющих цапфы и скрепления с двух сторон, разрешается устанавливать двойным рядом с расстоянием между формами со стороны цапф не менее 500 мм, со сторон, где нет цапф и скреплений не менее 100 мм.</w:t>
      </w:r>
    </w:p>
    <w:p>
      <w:pPr>
        <w:spacing w:line="240" w:lineRule="auto"/>
        <w:rPr>
          <w:rFonts w:hAnsi="Times New Roman" w:cs="Times New Roman"/>
          <w:color w:val="000000"/>
          <w:sz w:val="24"/>
          <w:szCs w:val="24"/>
        </w:rPr>
      </w:pPr>
      <w:r>
        <w:rPr>
          <w:rFonts w:hAnsi="Times New Roman" w:cs="Times New Roman"/>
          <w:color w:val="000000"/>
          <w:sz w:val="24"/>
          <w:szCs w:val="24"/>
        </w:rPr>
        <w:t>Ширина проходов в этом случае как продольных, так и поперечных должна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5.1.14. Литейные инструменты (ложки, ломы, мешалки и др.), применяемые в технологическом процессе, в местах, соприкасающихся с расплавом, должны быть сухими, чистыми (в том числе и от ржавчины) и прогретыми до необходимой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перегреве рабочего инструмента его необходимо охлаждать в бочке с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5.1.16. На участках плавки и заливки форм следует исключить сырость полов, приямков, подтекание трубопроводов воды, пролив воды у питьевых точек, появление грунтовых вод.</w:t>
      </w:r>
    </w:p>
    <w:p>
      <w:pPr>
        <w:spacing w:line="240" w:lineRule="auto"/>
        <w:rPr>
          <w:rFonts w:hAnsi="Times New Roman" w:cs="Times New Roman"/>
          <w:color w:val="000000"/>
          <w:sz w:val="24"/>
          <w:szCs w:val="24"/>
        </w:rPr>
      </w:pPr>
      <w:r>
        <w:rPr>
          <w:rFonts w:hAnsi="Times New Roman" w:cs="Times New Roman"/>
          <w:color w:val="000000"/>
          <w:sz w:val="24"/>
          <w:szCs w:val="24"/>
        </w:rPr>
        <w:t>5.1.17. Выемка, укладка, транспортировка готовых изделий должна производиться с помощью подъемно-транспортных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5.1.18. При использовании грузоподъемных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строповку грузов следует осуществлять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груза он должен быть предварительно поднят на высоту не более 200-300 мм для проверки правильности строповки и надежности действия тормоза подъемного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груз при его горизонтальном перемещении должен быть предварительно поднят на 500 мм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груза не должно производиться при нахождении под ним людей. Работник может находиться возле груза во время его подъема или опускания, если груз поднят на высоту не более 1000 мм от уровня пола.</w:t>
      </w:r>
    </w:p>
    <w:p>
      <w:pPr>
        <w:spacing w:line="240" w:lineRule="auto"/>
        <w:rPr>
          <w:rFonts w:hAnsi="Times New Roman" w:cs="Times New Roman"/>
          <w:color w:val="000000"/>
          <w:sz w:val="24"/>
          <w:szCs w:val="24"/>
        </w:rPr>
      </w:pPr>
      <w:r>
        <w:rPr>
          <w:rFonts w:hAnsi="Times New Roman" w:cs="Times New Roman"/>
          <w:color w:val="000000"/>
          <w:sz w:val="24"/>
          <w:szCs w:val="24"/>
        </w:rPr>
        <w:t>5.1.19. Работникам, непосредственно не занятым на операциях по заливке камнелитейных изделий, находиться в рабочей зоне запрещается. Они должны быть удалены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5.1.20. В процессе работы заливщик обязан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жидким расплавом глаза необходимо защищать очками.</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металлического инструмента (лом, скребок, ложка), который соприкасается с расплавом, следует надеть брезентовые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5.1.23. Заметив нарушение требований охраны труда другим работником, заливщику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5.1.24.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5.1.28.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заливщику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местах, куда могут попасть брызги расплава;</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пространства рабочей зоны какими-либо материалами, конструкциями, оборудованием и т.п.;</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отключенной или поврежденной вентиляции (системе пылегазоулавливания);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Заливщик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уборке производственных и служебных помещений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заливщику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Заливщик должен немедленно остановить оборудование при появлении неисправностей, указанных в инструкции по эксплуатации завода-изготовителя оборудования, при которых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При невозможности выполнить тушение собственными силами заливщику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оборудование. Электрооборудование отключить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Убрать и вынести из рабочего места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e9859c0fb424b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