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отдела распространения газеты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отдела распространения газеты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отдела распространения газеты предприятия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отдела распространения газеты;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заведующего отдела распространения газеты;</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заведующего отдела распространения газеты;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заведующего отдела распространения газеты;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заведующего отдела распространения газеты.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заведующих отдела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заведующего отдела распространения газеты.</w:t>
      </w:r>
    </w:p>
    <w:p>
      <w:pPr>
        <w:spacing w:line="240" w:lineRule="auto"/>
        <w:rPr>
          <w:rFonts w:hAnsi="Times New Roman" w:cs="Times New Roman"/>
          <w:color w:val="000000"/>
          <w:sz w:val="24"/>
          <w:szCs w:val="24"/>
        </w:rPr>
      </w:pPr>
      <w:r>
        <w:rPr>
          <w:rFonts w:hAnsi="Times New Roman" w:cs="Times New Roman"/>
          <w:color w:val="000000"/>
          <w:sz w:val="24"/>
          <w:szCs w:val="24"/>
        </w:rPr>
        <w:t>3.2. Заведующему отдела распространения газеты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Заведующий отдела распространения газеты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Заведующий отдела распространения газеты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Заведующий отдела распространения газеты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заведующего отдела распространения газеты могут воздействовать следующие опасные и вредные производственные факторы, опасности и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(пониженная) температура, влажность, скорость движения воздуха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нерациональная организация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падения предметов с высоты;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нервные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 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поражения электрическим током при использовании неисправного электрического оборудования, ПЭВМ;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излучений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ионизация воздуха (при работе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заведующему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Заведующий отдела распространения газеты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заведующему отдела распространения газеты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Не рекомендуется располагать видеомонитор экраном к окну.</w:t>
      </w:r>
    </w:p>
    <w:p>
      <w:pPr>
        <w:spacing w:line="240" w:lineRule="auto"/>
        <w:rPr>
          <w:rFonts w:hAnsi="Times New Roman" w:cs="Times New Roman"/>
          <w:color w:val="000000"/>
          <w:sz w:val="24"/>
          <w:szCs w:val="24"/>
        </w:rPr>
      </w:pPr>
      <w:r>
        <w:rPr>
          <w:rFonts w:hAnsi="Times New Roman" w:cs="Times New Roman"/>
          <w:color w:val="000000"/>
          <w:sz w:val="24"/>
          <w:szCs w:val="24"/>
        </w:rPr>
        <w:t>4.1.3. Для того чтобы в процессе работы не возникало перенапряжение зрительного анализатора, следует проверить, чтобы на клавиатуре и экране монитора не было бликов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4.1.4. Для повышения контрастности изображения, перед началом работы следует очистить экран монитора от пыли, которая интенсивно оседает на нем под воздействием зарядов статического электричества.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заведующий отдела распространения газеты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Заведующий отдела распространения газеты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color w:val="000000"/>
          <w:sz w:val="24"/>
          <w:szCs w:val="24"/>
        </w:rPr>
        <w:t>4.4.3. Заведующий отдела распространения газеты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Заведующий отдела распространения газеты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заведующему отдела распространения газеты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Заведующий отдела распространения газеты должен знать, что рациональная рабочая поза способствует уменьшению утомляемости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5.1.2. Монитор должен быть отрегулирован в соответствии с рабочей позой заведующего отдела.</w:t>
      </w:r>
    </w:p>
    <w:p>
      <w:pPr>
        <w:spacing w:line="240" w:lineRule="auto"/>
        <w:rPr>
          <w:rFonts w:hAnsi="Times New Roman" w:cs="Times New Roman"/>
          <w:color w:val="000000"/>
          <w:sz w:val="24"/>
          <w:szCs w:val="24"/>
        </w:rPr>
      </w:pPr>
      <w:r>
        <w:rPr>
          <w:rFonts w:hAnsi="Times New Roman" w:cs="Times New Roman"/>
          <w:color w:val="000000"/>
          <w:sz w:val="24"/>
          <w:szCs w:val="24"/>
        </w:rPr>
        <w:t>5.1.3. Конструкция рабочего кресла должна обеспечивать поддержание рациональной рабочей позы при работе, позволять изменять позу с целью снижения статического напряжения мышц шейно-плечевой области и спины для предупреждения развития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5.1.4. Тип рабочего кресла следует выбирать с учетом роста заведующего отдела и продолжительности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5.1.5. Рабочее кресло должно быть подъемно-поворотным,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pPr>
        <w:spacing w:line="240" w:lineRule="auto"/>
        <w:rPr>
          <w:rFonts w:hAnsi="Times New Roman" w:cs="Times New Roman"/>
          <w:color w:val="000000"/>
          <w:sz w:val="24"/>
          <w:szCs w:val="24"/>
        </w:rPr>
      </w:pPr>
      <w:r>
        <w:rPr>
          <w:rFonts w:hAnsi="Times New Roman" w:cs="Times New Roman"/>
          <w:color w:val="000000"/>
          <w:sz w:val="24"/>
          <w:szCs w:val="24"/>
        </w:rPr>
        <w:t>5.1.6. Поверхность сиденья, спинки и других элементов кресла должна быть полумягкой, с нескользящим, слабо электризующимся и воздухопроницаемым покрытием, обеспечивающим легкую очистку от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5.1.7. Высота рабочей поверхности стола должна регулироваться в пределах 680 - 800 мм; при отсутствии такой возможности, высота рабочей поверхности стола должна составлять 725 мм.</w:t>
      </w:r>
    </w:p>
    <w:p>
      <w:pPr>
        <w:spacing w:line="240" w:lineRule="auto"/>
        <w:rPr>
          <w:rFonts w:hAnsi="Times New Roman" w:cs="Times New Roman"/>
          <w:color w:val="000000"/>
          <w:sz w:val="24"/>
          <w:szCs w:val="24"/>
        </w:rPr>
      </w:pPr>
      <w:r>
        <w:rPr>
          <w:rFonts w:hAnsi="Times New Roman" w:cs="Times New Roman"/>
          <w:color w:val="000000"/>
          <w:sz w:val="24"/>
          <w:szCs w:val="24"/>
        </w:rPr>
        <w:t>5.1.8. Конструкция рабочего кресла должна обеспечивать:</w:t>
      </w:r>
    </w:p>
    <w:p>
      <w:pPr>
        <w:spacing w:line="240" w:lineRule="auto"/>
        <w:rPr>
          <w:rFonts w:hAnsi="Times New Roman" w:cs="Times New Roman"/>
          <w:color w:val="000000"/>
          <w:sz w:val="24"/>
          <w:szCs w:val="24"/>
        </w:rPr>
      </w:pPr>
      <w:r>
        <w:rPr>
          <w:rFonts w:hAnsi="Times New Roman" w:cs="Times New Roman"/>
          <w:color w:val="000000"/>
          <w:sz w:val="24"/>
          <w:szCs w:val="24"/>
        </w:rPr>
        <w:t>- ширину и глубину поверхности сиденья не менее 400 мм;</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сиденья с закругленным передним краем;</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регулировку высоты поверхности сиденья в пределах 400-550 мм и углам наклона вперед до 15° и назад до 5°;</w:t>
      </w:r>
    </w:p>
    <w:p>
      <w:pPr>
        <w:spacing w:line="240" w:lineRule="auto"/>
        <w:rPr>
          <w:rFonts w:hAnsi="Times New Roman" w:cs="Times New Roman"/>
          <w:color w:val="000000"/>
          <w:sz w:val="24"/>
          <w:szCs w:val="24"/>
        </w:rPr>
      </w:pPr>
      <w:r>
        <w:rPr>
          <w:rFonts w:hAnsi="Times New Roman" w:cs="Times New Roman"/>
          <w:color w:val="000000"/>
          <w:sz w:val="24"/>
          <w:szCs w:val="24"/>
        </w:rPr>
        <w:t>- высоту опорной поверхности спинки 300 + 20 мм, ширину - не менее 380 мм и радиус кривизны горизонтальной плоскости - 400 мм;</w:t>
      </w:r>
    </w:p>
    <w:p>
      <w:pPr>
        <w:spacing w:line="240" w:lineRule="auto"/>
        <w:rPr>
          <w:rFonts w:hAnsi="Times New Roman" w:cs="Times New Roman"/>
          <w:color w:val="000000"/>
          <w:sz w:val="24"/>
          <w:szCs w:val="24"/>
        </w:rPr>
      </w:pPr>
      <w:r>
        <w:rPr>
          <w:rFonts w:hAnsi="Times New Roman" w:cs="Times New Roman"/>
          <w:color w:val="000000"/>
          <w:sz w:val="24"/>
          <w:szCs w:val="24"/>
        </w:rPr>
        <w:t>- угол наклона спинки в вертикальной плоскости в пределах + 30°;</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регулировку расстояния спинки от переднего края сиденья в пределах 260-400 мм;</w:t>
      </w:r>
    </w:p>
    <w:p>
      <w:pPr>
        <w:spacing w:line="240" w:lineRule="auto"/>
        <w:rPr>
          <w:rFonts w:hAnsi="Times New Roman" w:cs="Times New Roman"/>
          <w:color w:val="000000"/>
          <w:sz w:val="24"/>
          <w:szCs w:val="24"/>
        </w:rPr>
      </w:pPr>
      <w:r>
        <w:rPr>
          <w:rFonts w:hAnsi="Times New Roman" w:cs="Times New Roman"/>
          <w:color w:val="000000"/>
          <w:sz w:val="24"/>
          <w:szCs w:val="24"/>
        </w:rPr>
        <w:t>- стационарные или съемные подлокотники длиной не менее 250 мм и шириной - 50-70 мм;</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регулировку подлокотников по высоте над сиденьем в пределах 230 + 30 мм и внутреннего расстояния между подлокотниками в пределах 350-500 мм.</w:t>
      </w:r>
    </w:p>
    <w:p>
      <w:pPr>
        <w:spacing w:line="240" w:lineRule="auto"/>
        <w:rPr>
          <w:rFonts w:hAnsi="Times New Roman" w:cs="Times New Roman"/>
          <w:color w:val="000000"/>
          <w:sz w:val="24"/>
          <w:szCs w:val="24"/>
        </w:rPr>
      </w:pPr>
      <w:r>
        <w:rPr>
          <w:rFonts w:hAnsi="Times New Roman" w:cs="Times New Roman"/>
          <w:color w:val="000000"/>
          <w:sz w:val="24"/>
          <w:szCs w:val="24"/>
        </w:rPr>
        <w:t>5.1.9. Экран видеомонитора должен находиться от глаз заведующего отдела на оптимальном расстоянии 600-700 мм, но не ближе 500 мм.</w:t>
      </w:r>
    </w:p>
    <w:p>
      <w:pPr>
        <w:spacing w:line="240" w:lineRule="auto"/>
        <w:rPr>
          <w:rFonts w:hAnsi="Times New Roman" w:cs="Times New Roman"/>
          <w:color w:val="000000"/>
          <w:sz w:val="24"/>
          <w:szCs w:val="24"/>
        </w:rPr>
      </w:pPr>
      <w:r>
        <w:rPr>
          <w:rFonts w:hAnsi="Times New Roman" w:cs="Times New Roman"/>
          <w:color w:val="000000"/>
          <w:sz w:val="24"/>
          <w:szCs w:val="24"/>
        </w:rPr>
        <w:t>5.1.10. С целью снижения зрительного и костно-мышечного утомления заведующему отдела следует соблюдать установленный для него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5.1.11. Для снятия зрительного и позотонического напряжения заведующему отдела в процессе работы следует устраивать микропаузы продолжительностью 1-3 мин.</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5.1.12. Все работы должны выполняться в соответствии с инструкцией по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пожара, в помещении, где выполняются работы, запрещается курить, пользоваться огнем и открытыми электронагревательными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нужно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5.1.17. Заведующему отдела распространения газеты следует проявлять осторожность при передвижении по территории компании.</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передвижении по территории следует обращать внимание на неровности на поверхности и скользкие места,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5.1.19. Во избежание травмирования головы нужно быть внимательным при передвижении возле низкорасположенных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дорожного движения. При следовании пешком по территории населенного пункта ходить только по тротуару, а где его нет – по краю проезжей части, навстречу идущему транспорту по левому краю (левой обочине). Переходить проезжую часть в местах, где имеются обозначения или указатели перехода, пешеходные тоннели, а где их нет – на перекрестках улиц.</w:t>
      </w:r>
    </w:p>
    <w:p>
      <w:pPr>
        <w:spacing w:line="240" w:lineRule="auto"/>
        <w:rPr>
          <w:rFonts w:hAnsi="Times New Roman" w:cs="Times New Roman"/>
          <w:color w:val="000000"/>
          <w:sz w:val="24"/>
          <w:szCs w:val="24"/>
        </w:rPr>
      </w:pPr>
      <w:r>
        <w:rPr>
          <w:rFonts w:hAnsi="Times New Roman" w:cs="Times New Roman"/>
          <w:color w:val="000000"/>
          <w:sz w:val="24"/>
          <w:szCs w:val="24"/>
        </w:rPr>
        <w:t>5.1.21. Переходить через железнодорожные пути следует только в местах, специально предназначенных для пешеходов, а вне населенных пунктов переходить только на участках, где железнодорожные пути просматриваются с обеих сторон.</w:t>
      </w:r>
    </w:p>
    <w:p>
      <w:pPr>
        <w:spacing w:line="240" w:lineRule="auto"/>
        <w:rPr>
          <w:rFonts w:hAnsi="Times New Roman" w:cs="Times New Roman"/>
          <w:color w:val="000000"/>
          <w:sz w:val="24"/>
          <w:szCs w:val="24"/>
        </w:rPr>
      </w:pPr>
      <w:r>
        <w:rPr>
          <w:rFonts w:hAnsi="Times New Roman" w:cs="Times New Roman"/>
          <w:color w:val="000000"/>
          <w:sz w:val="24"/>
          <w:szCs w:val="24"/>
        </w:rPr>
        <w:t>5.1.22. Прежде чем переходить улицу или дорогу, следует убедиться в безопасности (посмотреть налево, а дойдя до середины – направо), выходить на проезжую часть улицы (дороги) для ее перехода можно только при зеленом сигнале светофора, светового указателя. Пешеход, не успевший закончить переход, должен ожидать разрешающего сигнала на середине улицы (дороги) или островке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5.1.23. Ожидать автобус, троллейбус, трамвай разрешается на посадочных площадках (остановках), а там, где их нет, – на тротуаре (обочине дороги). При обходе транспортных средств и других препятствий, ограничивающих видимость проезжей части, соблюдать осторожность. Входить в автобус, троллейбус, трамвай и выходить из них разрешается только на остановках и при полной остановке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5.1.24. По лестничным маршам следует идти, держась за перила, бегать по лестничным маршам запрещается, а при пользовании лифтом – соблюдать правила пользования лифтами и заходить в кабину без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вне населенных пунктов работнику необходимо пользоваться известными путями для перехода через реки, ручьи, овраги, железнодорожные пути, шоссейные и грунтовые дороги.</w:t>
      </w:r>
    </w:p>
    <w:p>
      <w:pPr>
        <w:spacing w:line="240" w:lineRule="auto"/>
        <w:rPr>
          <w:rFonts w:hAnsi="Times New Roman" w:cs="Times New Roman"/>
          <w:color w:val="000000"/>
          <w:sz w:val="24"/>
          <w:szCs w:val="24"/>
        </w:rPr>
      </w:pPr>
      <w:r>
        <w:rPr>
          <w:rFonts w:hAnsi="Times New Roman" w:cs="Times New Roman"/>
          <w:color w:val="000000"/>
          <w:sz w:val="24"/>
          <w:szCs w:val="24"/>
        </w:rPr>
        <w:t>5.1.26. Не следует использовать попутный транспорт, не предназначенный для перевозки людей (грузовые автомашины, тракторы и т. 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Заведующий отдела распространения газеты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заведующим отдела распространения газеты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каких-либо неполадок в работе, влияющих на безопасность труда, необходимо прекратить работу, выключить оборудование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6.2.2. Заведующему отдела распространения газеты не следует самому устранять технические неполадки.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Заведующий отдела распространения газеты должен привести в порядок рабочее место, убрать диски, видеокассеты, дискеты, документацию и т.п.</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Помещение закрыть на замок, сдать ключи под охрану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e148c1ed80848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