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инженера по наладке, совершенствованию технологии и эксплуатации автоматизированной системы контроля и учета энергоресурсов (АСКУЭ)</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инженера по наладке, совершенствованию технологии и эксплуатации автоматизированной системы контроля и учета энергоресурсов (АСКУЭ).</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Порядок обучения по охране труда и проверки знания требований охраны труда, утв. 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Правила противопожарного режима в РФ, утвержденные 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w:t>
      </w:r>
      <w:r>
        <w:rPr>
          <w:rFonts w:hAnsi="Times New Roman" w:cs="Times New Roman"/>
          <w:color w:val="000000"/>
          <w:sz w:val="24"/>
          <w:szCs w:val="24"/>
        </w:rPr>
        <w:t>Правилами по охране труда в сельском хозяйстве утвержденные приказом Минтруда от 27.10.2020 № 746н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инженером по АСКУЭ допускаются лица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__________</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__________________________________________________________________</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воздействие лазерного излучения;</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попадание мельчайших остатков оптического волокна на кожу.</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груза.</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_________________________________________________________________________</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_________________</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_______</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_______________________</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надеть положенные спецодежду, спецобувь и средства индивидуальной защиты, предварительно проверив их исправность;</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4.1.2. Работник должен обеспечить чистоту и порядок на рабочем месте. Беспорядок, захламленность на рабочем месте – одна из причин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4.1.3.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4.2.2.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4.2.3. Проходы не должны быть загромождены. Необходимо очищать их от наледи, а также удалять случайно пролитые жидкости (масла, эмульсии и т. 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4.2.4.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4.2.5.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4.2.6. Рабочее место должно быть хорошо освещено.</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Проходы между оборудованием и элементами производственного помещения (стена, колонна и т. п.) должны быть шириной не менее 1 метра.</w:t>
      </w:r>
    </w:p>
    <w:p>
      <w:pPr>
        <w:spacing w:line="240" w:lineRule="auto"/>
        <w:rPr>
          <w:rFonts w:hAnsi="Times New Roman" w:cs="Times New Roman"/>
          <w:color w:val="000000"/>
          <w:sz w:val="24"/>
          <w:szCs w:val="24"/>
        </w:rPr>
      </w:pPr>
      <w:r>
        <w:rPr>
          <w:rFonts w:hAnsi="Times New Roman" w:cs="Times New Roman"/>
          <w:color w:val="000000"/>
          <w:sz w:val="24"/>
          <w:szCs w:val="24"/>
        </w:rPr>
        <w:t>4.4.2. Инструменты и приспособления на рабочем месте должны храниться в специальных шкафах и уложены в должном порядке, а при переноске – в сумках или специальных ящиках.</w:t>
      </w:r>
    </w:p>
    <w:p>
      <w:pPr>
        <w:spacing w:line="240" w:lineRule="auto"/>
        <w:rPr>
          <w:rFonts w:hAnsi="Times New Roman" w:cs="Times New Roman"/>
          <w:color w:val="000000"/>
          <w:sz w:val="24"/>
          <w:szCs w:val="24"/>
        </w:rPr>
      </w:pPr>
      <w:r>
        <w:rPr>
          <w:rFonts w:hAnsi="Times New Roman" w:cs="Times New Roman"/>
          <w:color w:val="000000"/>
          <w:sz w:val="24"/>
          <w:szCs w:val="24"/>
        </w:rPr>
        <w:t>4.4.3.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Инженер выполняет только ту работу, по которой прошел обучение,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5.1.2. Каждая система машин и (или) оборудования оснащается органом управления, с помощью которого она может быть безопасно полностью остановлена. Управление остановкой машины и (или) оборудования имеет приоритет над управлением пуском.</w:t>
      </w:r>
    </w:p>
    <w:p>
      <w:pPr>
        <w:spacing w:line="240" w:lineRule="auto"/>
        <w:rPr>
          <w:rFonts w:hAnsi="Times New Roman" w:cs="Times New Roman"/>
          <w:color w:val="000000"/>
          <w:sz w:val="24"/>
          <w:szCs w:val="24"/>
        </w:rPr>
      </w:pPr>
      <w:r>
        <w:rPr>
          <w:rFonts w:hAnsi="Times New Roman" w:cs="Times New Roman"/>
          <w:color w:val="000000"/>
          <w:sz w:val="24"/>
          <w:szCs w:val="24"/>
        </w:rPr>
        <w:t>5.1.3. После остановки машины и (или) оборудования источник энергии от приводов машины и (или) оборудования должен быть отключен. Системы управления машиной и (или) оборудованием (за исключением переносных машин с ручным управлением) оснащаются средствами экстренного торможения и аварийной остановки (выключения), если применение этих систем может уменьшить или предотвратить опасность.</w:t>
      </w:r>
    </w:p>
    <w:p>
      <w:pPr>
        <w:spacing w:line="240" w:lineRule="auto"/>
        <w:rPr>
          <w:rFonts w:hAnsi="Times New Roman" w:cs="Times New Roman"/>
          <w:color w:val="000000"/>
          <w:sz w:val="24"/>
          <w:szCs w:val="24"/>
        </w:rPr>
      </w:pPr>
      <w:r>
        <w:rPr>
          <w:rFonts w:hAnsi="Times New Roman" w:cs="Times New Roman"/>
          <w:color w:val="000000"/>
          <w:sz w:val="24"/>
          <w:szCs w:val="24"/>
        </w:rPr>
        <w:t>5.1.4. Полное или частичное прекращение энергоснабжения и последующее его восстановление, а также повреждение цепи управления энергоснабжением не должны приводить к возникновению опасных ситуаций, включая: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самопроизвольный пуск машины и (или) оборудования при восстановлении энергоснабжения;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невыполнение уже выданной команды на остановку;</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снижение эффективности защитных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5.1.5. Нарушение (неисправность или повреждение) в схеме управления машиной и (или) оборудованием не должно приводить к возникновению опасных ситуаций.</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Во время работы инженер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знакомиться с проектами решений руководства предприятия, касающимися его деятельности;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вносить на рассмотрение руководства предложения по совершенствованию работы, связанной с предусмотренными настоящей инструкцией обязанностями;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пределах своей компетенции сообщать непосредственному руководителю о всех выявленных в процессе деятельности недостатках и вносить предложения по их устранению;</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привлекать специалистов всех структурных подразделений с разрешения руководства к решению задач, возложенных на него;</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запрашивать лично или по поручению руководства предприятия у руководителей структурных подразделений и специалистов информацию и документы, необходимые для выполнения должностных обязанностей;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требовать от руководства оказания содействия в исполнении своих должностных обязанностей;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исследования в области электротехники и энергетики по утвержденным регламентам и с соблюдением норм охраны труда;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организовывать эксплуатацию и ремонт, контроль соблюдения инструкций по техническому уходу и надзору за энергетическим, электротехническим оборудованием, коммуникациями и сетями;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участвовать в расследовании причин аварий энергооборудования и сетей, разработке мер по их устранению и предупреждению;</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разрабатывать промышленные технологии в энергетике и электротехнике с учетом норм безопасности труда;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готовить научную документацию и отчеты с включением аспектов охраны труда;</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осуществлять руководство другими работниками, их инструктаж и оформление допусков к выполнению отдельных видов работ, к которым предъявляются повышенные требования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5.2.2. При работе оборудования оптические выходы блоков, если к ним не присоединен оптический кабель, должны быть закрыты заглушками.</w:t>
      </w:r>
    </w:p>
    <w:p>
      <w:pPr>
        <w:spacing w:line="240" w:lineRule="auto"/>
        <w:rPr>
          <w:rFonts w:hAnsi="Times New Roman" w:cs="Times New Roman"/>
          <w:color w:val="000000"/>
          <w:sz w:val="24"/>
          <w:szCs w:val="24"/>
        </w:rPr>
      </w:pPr>
      <w:r>
        <w:rPr>
          <w:rFonts w:hAnsi="Times New Roman" w:cs="Times New Roman"/>
          <w:color w:val="000000"/>
          <w:sz w:val="24"/>
          <w:szCs w:val="24"/>
        </w:rPr>
        <w:t>5.2.3. Не допускается: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надзора работающее оборудование, допускать к его эксплуатации необученных и посторонних лиц;</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складывать на оборудование инструмент, тару.</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_______</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электрооборудования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нарушение условий эксплуатации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стихийное бедствие.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______</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возникновения аварийной ситуации (несчастного случая, пожара, стихийного бедствия) немедленно прекратить работу и сообщить о ситуации вышестоящему руководству.</w:t>
      </w:r>
    </w:p>
    <w:p>
      <w:pPr>
        <w:spacing w:line="240" w:lineRule="auto"/>
        <w:rPr>
          <w:rFonts w:hAnsi="Times New Roman" w:cs="Times New Roman"/>
          <w:color w:val="000000"/>
          <w:sz w:val="24"/>
          <w:szCs w:val="24"/>
        </w:rPr>
      </w:pPr>
      <w:r>
        <w:rPr>
          <w:rFonts w:hAnsi="Times New Roman" w:cs="Times New Roman"/>
          <w:color w:val="000000"/>
          <w:sz w:val="24"/>
          <w:szCs w:val="24"/>
        </w:rPr>
        <w:t>6.3.2. В случаях, не терпящих отлагательств, выполнить необходимые переключения с последующим уведомлением вышестоящего оперативного персонала.</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возникновения пожара: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оповестить всех работающих в производственном помещении и принять меры по тушению очага возгорания. Горящие части электроустановок и электропроводку, находящиеся под напряжением, следует тушить углекислотными огнетушителями;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меры по вызову на место пожара своего непосредственного руководителя или других должностных лиц.</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 соответствии с оперативной обстановкой следует действовать согласно местному оперативному плану пожаротушения.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 необходимо отключить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7.2.2. Произвести осмотр оборудования с целью контроля его состояния.</w:t>
      </w:r>
    </w:p>
    <w:p>
      <w:pPr>
        <w:spacing w:line="240" w:lineRule="auto"/>
        <w:rPr>
          <w:rFonts w:hAnsi="Times New Roman" w:cs="Times New Roman"/>
          <w:color w:val="000000"/>
          <w:sz w:val="24"/>
          <w:szCs w:val="24"/>
        </w:rPr>
      </w:pPr>
      <w:r>
        <w:rPr>
          <w:rFonts w:hAnsi="Times New Roman" w:cs="Times New Roman"/>
          <w:color w:val="000000"/>
          <w:sz w:val="24"/>
          <w:szCs w:val="24"/>
        </w:rPr>
        <w:t>7.2.3. Проверить наличие и исправность защитных средств, инструмента, средств пожаротушения, ключей от электроустановок, освещенность рабочих мест.</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Весь инструмент, приспособления, приборы и средства защиты должны быть приведены в надлежащий порядок и размещены в специальных шкафах и на стеллажах.</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3f85064ef60e42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