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обращению с ГСМ и отработанными нефтепродуктами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обращению с ГСМ и отработанными нефтепродуктами.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обращению с ГСМ и отработанными нефтепродуктами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инструмента, приспособлений,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ГСМ и отработанных нефтепродуктов при попадании в организм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термических и химических ожогов;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(тары)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с обращением с ГСМ и отработанными нефтепродуктами, инструктаж об условиях ее выполнения,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помещение для хранения ГСМ и отработанных нефтепродуктов, проверить его соответствие требованиям действующих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срок технического освидетельствования (испытания, обслуживания)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наличии и исправности (целостности) инструмента, оснастки, необходимых приспособлений, их соответствии противопожарным требованиям.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герметичность тары, заполненной ГСМ и отработанными нефтепродуктами, отсутствие подтеканий, потений, других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этикетки (бирки, ярлыка) на таре, а также информацию о находящемся в ней материале (название, меры предосторожности, условия хранения и пр.).</w:t>
      </w:r>
    </w:p>
    <w:p>
      <w:pPr>
        <w:spacing w:line="240" w:lineRule="auto"/>
        <w:rPr>
          <w:rFonts w:hAnsi="Times New Roman" w:cs="Times New Roman"/>
          <w:color w:val="000000"/>
          <w:sz w:val="24"/>
          <w:szCs w:val="24"/>
        </w:rPr>
      </w:pPr>
      <w:r>
        <w:rPr>
          <w:rFonts w:hAnsi="Times New Roman" w:cs="Times New Roman"/>
          <w:color w:val="000000"/>
          <w:sz w:val="24"/>
          <w:szCs w:val="24"/>
        </w:rPr>
        <w:t>Этикетка должна быть прочной и устойчивой к внешним воздействиям, надписи – легко читаемыми.</w:t>
      </w:r>
    </w:p>
    <w:p>
      <w:pPr>
        <w:spacing w:line="240" w:lineRule="auto"/>
        <w:rPr>
          <w:rFonts w:hAnsi="Times New Roman" w:cs="Times New Roman"/>
          <w:color w:val="000000"/>
          <w:sz w:val="24"/>
          <w:szCs w:val="24"/>
        </w:rPr>
      </w:pPr>
      <w:r>
        <w:rPr>
          <w:rFonts w:hAnsi="Times New Roman" w:cs="Times New Roman"/>
          <w:color w:val="000000"/>
          <w:sz w:val="24"/>
          <w:szCs w:val="24"/>
        </w:rPr>
        <w:t>4.1.7. При хранении ГСМ и отработанных нефтепродуктов в резервуарном парке проверить герметичность резервуаров, отсутствие их осадки, исправность лестниц, площадок, переходов, а также их ограждений (перил).</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 отсутствие на них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работу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4.1.9.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4.1.10.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устройств автоматического контроля и сигнализации;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ветоши, песка, опилок, хлорной извести (дихлорамина), керосина, а также металлического ящика с крышкой для складирования промасленных обтирочных материалов;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Полы помещений для хранения ГСМ и отработанных нефтепродуктов должны быть выполнены из несгораемых материалов, не образующих искр при ударе.</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Хранение ГСМ и отработанных нефтепродуктов должно быть организовано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хранить ГСМ и отработанные нефтепродукты и осуществлять работы с ними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помещениях и на территориях, не приспособленных для этого (не отвечающих требованиям нормативных документов);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применяемого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 (испытания, обслуживания);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осмотр с целью выявления повреждений его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использовании оборудования, применяемого в работе с ГСМ и отработанными нефтепродуктами,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Хранение ГСМ и отработанных нефтепродуктов осуществлять на складах, расположенных в негорючих изолированных помещениях и оборудованных вентиляцией,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Размещать ГСМ и отработанные нефтепродукты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т. п.).</w:t>
      </w:r>
    </w:p>
    <w:p>
      <w:pPr>
        <w:spacing w:line="240" w:lineRule="auto"/>
        <w:rPr>
          <w:rFonts w:hAnsi="Times New Roman" w:cs="Times New Roman"/>
          <w:color w:val="000000"/>
          <w:sz w:val="24"/>
          <w:szCs w:val="24"/>
        </w:rPr>
      </w:pPr>
      <w:r>
        <w:rPr>
          <w:rFonts w:hAnsi="Times New Roman" w:cs="Times New Roman"/>
          <w:color w:val="000000"/>
          <w:sz w:val="24"/>
          <w:szCs w:val="24"/>
        </w:rPr>
        <w:t>5.1.9. Все поступающие на склад материалы принимать и выдавать для применения только при наличии на них паспорта (сертификата), в котором указывается их химический состав.</w:t>
      </w:r>
    </w:p>
    <w:p>
      <w:pPr>
        <w:spacing w:line="240" w:lineRule="auto"/>
        <w:rPr>
          <w:rFonts w:hAnsi="Times New Roman" w:cs="Times New Roman"/>
          <w:color w:val="000000"/>
          <w:sz w:val="24"/>
          <w:szCs w:val="24"/>
        </w:rPr>
      </w:pPr>
      <w:r>
        <w:rPr>
          <w:rFonts w:hAnsi="Times New Roman" w:cs="Times New Roman"/>
          <w:color w:val="000000"/>
          <w:sz w:val="24"/>
          <w:szCs w:val="24"/>
        </w:rPr>
        <w:t>5.1.10. Не хранить вещества неизвестного происхождения без надписей и этикеток.</w:t>
      </w:r>
    </w:p>
    <w:p>
      <w:pPr>
        <w:spacing w:line="240" w:lineRule="auto"/>
        <w:rPr>
          <w:rFonts w:hAnsi="Times New Roman" w:cs="Times New Roman"/>
          <w:color w:val="000000"/>
          <w:sz w:val="24"/>
          <w:szCs w:val="24"/>
        </w:rPr>
      </w:pPr>
      <w:r>
        <w:rPr>
          <w:rFonts w:hAnsi="Times New Roman" w:cs="Times New Roman"/>
          <w:color w:val="000000"/>
          <w:sz w:val="24"/>
          <w:szCs w:val="24"/>
        </w:rPr>
        <w:t>5.1.11. Укладку бочек, заполненных нефтепродуктами с температурой вспышки паров 28 °С и ниже, производить только в один ряд, укладку бочек с другими нефтепродуктами — не более чем в два ряда.</w:t>
      </w:r>
    </w:p>
    <w:p>
      <w:pPr>
        <w:spacing w:line="240" w:lineRule="auto"/>
        <w:rPr>
          <w:rFonts w:hAnsi="Times New Roman" w:cs="Times New Roman"/>
          <w:color w:val="000000"/>
          <w:sz w:val="24"/>
          <w:szCs w:val="24"/>
        </w:rPr>
      </w:pPr>
      <w:r>
        <w:rPr>
          <w:rFonts w:hAnsi="Times New Roman" w:cs="Times New Roman"/>
          <w:color w:val="000000"/>
          <w:sz w:val="24"/>
          <w:szCs w:val="24"/>
        </w:rPr>
        <w:t>5.1.12. Бочки с нефтепродуктами укладывать пробками вверх, при укладке в два ряда выдерживать расстояние до светильников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чтобы емкости с ГСМ и отработанными нефтепродуктами были защищены от солнечного или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проведении работ, связанных с применением грузоподъемных механизмов и машин, выполнять требования Правил по охране труда при погрузочно-разгрузочных работах и Правил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Работы с грузоподъемными механизмами и машинами осуществлять только после прохождения соответствующего обучения, сдачи экзамена и при наличии удостоверения на право проведения таких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5.1.15. Все операции, связанные с вскрытием тары, переливанием и расфасовкой материалов, производить в специальных помещениях, изолированных от мест хранения и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переливании пожароопасных жидкостей использовать поддоны из цветных металлов с бортами не менее 50 мм.</w:t>
      </w:r>
    </w:p>
    <w:p>
      <w:pPr>
        <w:spacing w:line="240" w:lineRule="auto"/>
        <w:rPr>
          <w:rFonts w:hAnsi="Times New Roman" w:cs="Times New Roman"/>
          <w:color w:val="000000"/>
          <w:sz w:val="24"/>
          <w:szCs w:val="24"/>
        </w:rPr>
      </w:pPr>
      <w:r>
        <w:rPr>
          <w:rFonts w:hAnsi="Times New Roman" w:cs="Times New Roman"/>
          <w:color w:val="000000"/>
          <w:sz w:val="24"/>
          <w:szCs w:val="24"/>
        </w:rPr>
        <w:t>Для открывания бочек применять специальные ключи.</w:t>
      </w:r>
    </w:p>
    <w:p>
      <w:pPr>
        <w:spacing w:line="240" w:lineRule="auto"/>
        <w:rPr>
          <w:rFonts w:hAnsi="Times New Roman" w:cs="Times New Roman"/>
          <w:color w:val="000000"/>
          <w:sz w:val="24"/>
          <w:szCs w:val="24"/>
        </w:rPr>
      </w:pPr>
      <w:r>
        <w:rPr>
          <w:rFonts w:hAnsi="Times New Roman" w:cs="Times New Roman"/>
          <w:color w:val="000000"/>
          <w:sz w:val="24"/>
          <w:szCs w:val="24"/>
        </w:rPr>
        <w:t>5.1.17. Пустую тару из-под ГСМ и отработанных нефтепродуктов хранить в специально выделенных для этого помещениях или на открытых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5.1.18. Отработанное масло собирать в отдельные емкости, установленные вне помещения, и периодически освобождать их путем вывоза для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Сливать отработанное масло в общую канализацию или грунт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Хранить ГСМ и отработанные нефтепродукты только в исправной таре, пролитые жидкости немедленно удалять.</w:t>
      </w:r>
    </w:p>
    <w:p>
      <w:pPr>
        <w:spacing w:line="240" w:lineRule="auto"/>
        <w:rPr>
          <w:rFonts w:hAnsi="Times New Roman" w:cs="Times New Roman"/>
          <w:color w:val="000000"/>
          <w:sz w:val="24"/>
          <w:szCs w:val="24"/>
        </w:rPr>
      </w:pPr>
      <w:r>
        <w:rPr>
          <w:rFonts w:hAnsi="Times New Roman" w:cs="Times New Roman"/>
          <w:color w:val="000000"/>
          <w:sz w:val="24"/>
          <w:szCs w:val="24"/>
        </w:rPr>
        <w:t>5.1.20. Обтирочный материал, пропитанный ГСМ и отработанными нефтепродуктами, собирать в специально установленные металлические ящики с крышками и соответствующими надписями и удалять в конце смены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5.1.21. При хранении ГСМ и отработанных нефтепродуктов в резервуарном парке территорию объекта содержать в чистоте и исправности: в зимнее время очищать от снега и льда, в летнее — подметать, выкашивать траву и вывозить ее за пределы объекта (в сыром виде).</w:t>
      </w:r>
    </w:p>
    <w:p>
      <w:pPr>
        <w:spacing w:line="240" w:lineRule="auto"/>
        <w:rPr>
          <w:rFonts w:hAnsi="Times New Roman" w:cs="Times New Roman"/>
          <w:color w:val="000000"/>
          <w:sz w:val="24"/>
          <w:szCs w:val="24"/>
        </w:rPr>
      </w:pPr>
      <w:r>
        <w:rPr>
          <w:rFonts w:hAnsi="Times New Roman" w:cs="Times New Roman"/>
          <w:color w:val="000000"/>
          <w:sz w:val="24"/>
          <w:szCs w:val="24"/>
        </w:rPr>
        <w:t>5.1.22. Работы на резервуарах производить преимущественно в светлое время суток. При необходимости выполнения работ в ночное время осуществлять их только при наличии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5.1.23. При подъеме на резервуары, цистерны пользоваться стационарными лестницами (скобами). Лестницы и обслуживающие площадки сосудов должны содержаться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5.1.24. Подниматься по лестнице лицом к ней, держась за поручни двумя руками. Пользоваться переносными лестницами и стремянками для работы на сосудах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При открытии люков находиться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5.1.26. Отбор проб и замер ГСМ и отработанных нефтепродуктов в резервуаре производить при помощи приспособлений, изготовленных из материалов, исключающих искрообразование, не ранее чем через 2 часа после окончания заполнения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5.1.27. При осуществлении замера избегать ударов лотом о края люка, а также трения измерительной ленты о стенки направляющей трубы.</w:t>
      </w:r>
    </w:p>
    <w:p>
      <w:pPr>
        <w:spacing w:line="240" w:lineRule="auto"/>
        <w:rPr>
          <w:rFonts w:hAnsi="Times New Roman" w:cs="Times New Roman"/>
          <w:color w:val="000000"/>
          <w:sz w:val="24"/>
          <w:szCs w:val="24"/>
        </w:rPr>
      </w:pPr>
      <w:r>
        <w:rPr>
          <w:rFonts w:hAnsi="Times New Roman" w:cs="Times New Roman"/>
          <w:color w:val="000000"/>
          <w:sz w:val="24"/>
          <w:szCs w:val="24"/>
        </w:rPr>
        <w:t>5.1.28. По окончании работ крышку люка закрывать осторожно, избегая ее падения и удара о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5.1.29. Все операции, связанные с возможным выделением отравляющих, пожароопасных и взрывоопасных веществ (паров), производить с применением средств индивидуальной защиты, а при их выполнении в помещениях — еще и при работающей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5.1.30. В расходных баках отгонного отделения установок по регенерации отработанных масел (далее — установки регенерации) допускается иметь не более суточной потребности топлива.</w:t>
      </w:r>
    </w:p>
    <w:p>
      <w:pPr>
        <w:spacing w:line="240" w:lineRule="auto"/>
        <w:rPr>
          <w:rFonts w:hAnsi="Times New Roman" w:cs="Times New Roman"/>
          <w:color w:val="000000"/>
          <w:sz w:val="24"/>
          <w:szCs w:val="24"/>
        </w:rPr>
      </w:pPr>
      <w:r>
        <w:rPr>
          <w:rFonts w:hAnsi="Times New Roman" w:cs="Times New Roman"/>
          <w:color w:val="000000"/>
          <w:sz w:val="24"/>
          <w:szCs w:val="24"/>
        </w:rPr>
        <w:t>5.1.31. Баки должны находиться за пределами помещения установок регенерации.</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установок регенерации керосиносборники по мере наполнения, а также в конце смены должны освобождаться от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установок регенерации работники должны постоянно следить за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5.1.34. Перед ремонтом оборудование установок регенерации должно быть очищено от нефтепродуктов и их отложений и обезврежено нейтрализацией кислоты, щелочи и других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5.1.35. Счищенные отложения должны быть помещены в металлическую посуду и удалены из помещения установок регенерации.</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переполнять керосиносборники во время работы установок регенерации;</w:t>
      </w:r>
    </w:p>
    <w:p>
      <w:pPr>
        <w:spacing w:line="240" w:lineRule="auto"/>
        <w:rPr>
          <w:rFonts w:hAnsi="Times New Roman" w:cs="Times New Roman"/>
          <w:color w:val="000000"/>
          <w:sz w:val="24"/>
          <w:szCs w:val="24"/>
        </w:rPr>
      </w:pPr>
      <w:r>
        <w:rPr>
          <w:rFonts w:hAnsi="Times New Roman" w:cs="Times New Roman"/>
          <w:color w:val="000000"/>
          <w:sz w:val="24"/>
          <w:szCs w:val="24"/>
        </w:rPr>
        <w:t>2) хранить в помещении установок регенерации снятые с фильтр-пресса промасленные фильтровальный картон, бумагу и другие материалы, а также промасленную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5.1.37. При хранении ГСМ и отработанных нефтепродуктов и выполнении работ с ними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и проезды на территории и внутри складов ГСМ;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емкости с ГСМ и отработанными нефтепродуктами на поверхностях трубопроводов и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перетаскивать тару с ГСМ и отработанными нефтепродуктами волоком, сбрасывать ее с высоты;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пробки с помощью молотка и зубила;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отбирать пробы, производить замеры во время наполнения или опорожнения резервуаров;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крыше резервуара инструмент, сбрасывать его на землю;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 карманах спецодежды ветошь, пропитанную ГСМ и отработанными нефтепродуктами;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fa332cdc9349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