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охране труда для фальцепрокатного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фальцепрокатных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на фальцепрокатных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фальцепрокатных станках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фальцепрокатных станках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и рисков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безопасных методов и приемов работ и пройти инструктаж на рабочем месте с учетом специфики работ;</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После получения задания у руководителя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 записями в рабочем журнале;</w:t>
      </w:r>
    </w:p>
    <w:p>
      <w:pPr>
        <w:spacing w:line="240" w:lineRule="auto"/>
        <w:rPr>
          <w:rFonts w:hAnsi="Times New Roman" w:cs="Times New Roman"/>
          <w:color w:val="000000"/>
          <w:sz w:val="24"/>
          <w:szCs w:val="24"/>
        </w:rPr>
      </w:pPr>
      <w:r>
        <w:rPr>
          <w:rFonts w:hAnsi="Times New Roman" w:cs="Times New Roman"/>
          <w:color w:val="000000"/>
          <w:sz w:val="24"/>
          <w:szCs w:val="24"/>
        </w:rPr>
        <w:t>принять от работника предыдущей смены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обслуживаемого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и вспомогательных приспособлений 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 ножевой фальцевальной машине проверить натяжение тесемок и прочность склейки шва;</w:t>
      </w:r>
    </w:p>
    <w:p>
      <w:pPr>
        <w:spacing w:line="240" w:lineRule="auto"/>
        <w:rPr>
          <w:rFonts w:hAnsi="Times New Roman" w:cs="Times New Roman"/>
          <w:color w:val="000000"/>
          <w:sz w:val="24"/>
          <w:szCs w:val="24"/>
        </w:rPr>
      </w:pPr>
      <w:r>
        <w:rPr>
          <w:rFonts w:hAnsi="Times New Roman" w:cs="Times New Roman"/>
          <w:color w:val="000000"/>
          <w:sz w:val="24"/>
          <w:szCs w:val="24"/>
        </w:rPr>
        <w:t>на кассетных фальцевальных машинах проверить прочность крепления кассет;</w:t>
      </w:r>
    </w:p>
    <w:p>
      <w:pPr>
        <w:spacing w:line="240" w:lineRule="auto"/>
        <w:rPr>
          <w:rFonts w:hAnsi="Times New Roman" w:cs="Times New Roman"/>
          <w:color w:val="000000"/>
          <w:sz w:val="24"/>
          <w:szCs w:val="24"/>
        </w:rPr>
      </w:pPr>
      <w:r>
        <w:rPr>
          <w:rFonts w:hAnsi="Times New Roman" w:cs="Times New Roman"/>
          <w:color w:val="000000"/>
          <w:sz w:val="24"/>
          <w:szCs w:val="24"/>
        </w:rPr>
        <w:t>оценить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не должен приступать к выполнению работы при нарушении следующих требований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оборудования, ограждений, инструмента, контрольно-измерительных приборов, указанных в инструкциях заводов-изготовителей, при которых не допускается их эксплуатация;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неустойчивом положение узлов, агрегатов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должны быть устранены собственными силами до начала работы, а при невозможности работник агрегата обязан сообщить о них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4.4.5. В случае неполадок по электрической части необходимо сообщить об этом дежурному электрику.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машины 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на ножевой фальцевальной машине не допускается: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тесемки;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листы на нижнем столе конвейера;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вынимать смятые листы и упавшие под машину тетради.</w:t>
      </w:r>
    </w:p>
    <w:p>
      <w:pPr>
        <w:spacing w:line="240" w:lineRule="auto"/>
        <w:rPr>
          <w:rFonts w:hAnsi="Times New Roman" w:cs="Times New Roman"/>
          <w:color w:val="000000"/>
          <w:sz w:val="24"/>
          <w:szCs w:val="24"/>
        </w:rPr>
      </w:pPr>
      <w:r>
        <w:rPr>
          <w:rFonts w:hAnsi="Times New Roman" w:cs="Times New Roman"/>
          <w:color w:val="000000"/>
          <w:sz w:val="24"/>
          <w:szCs w:val="24"/>
        </w:rPr>
        <w:t>5.1.3. Регулировку механизма транспортных тесемок, установку упоров на столе, установку формата, надевание тесемки на ролики или склеивание (сшивание) их следует выполнять при отключенной ножевой фальцевальной машине и после вывешивания предупредительного плаката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кассетной фальцевальной машине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выравнивать и поправлять листы на нижнем столе самонаклада;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вынимать помятые тетради из кассет;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упоры в кассетах;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тесемки выводящего конвейера;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перемещать выравнивающую линейку.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Регулировать фальцевальные валики, устанавливать или снимать дисковые ножи, устанавливать формат, вынимать и вставлять кассеты, склеивать (сшивать) тесемки следует только после отключения кассетной фальцевальной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скопления бумажного брака на рабочем месте, следует убирать его по мере накопления.</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аварийных ситуаций не допускается оставлять без надзора включенное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машину,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оборудования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разрешения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Отключить оборудование от сети, прекратить работу и уведомить администрацию цеха в случае неисправности оборудования, предохранительных, оградительных, блокировочных, сигнализирующих устройств, а также при появлении запаха гари и дыма, при попадании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6.3.4. При прекращении подачи электроэнергии и возникновении вибрации или повышенного уровня шума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оборудование, выключить общий вводной выключатель, почистить и привести в порядок рабочее место, сделать запись в Журнале о техническом состоянии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Снять спецодежду и убрать ее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319ff4e36504a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