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применению франкировальной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 франкировальной машине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использовании франкировальной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на франкировальной машине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пониженное давление (вакуум), применяемое в технологическом процессе;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рабочее место и оборудование, исправность системы защитного заземления, наличие и прочность крепления ограждений, предохранительных приспособлений, блокировок, сигнализации, включающих и выключающих устройств, действие вентиляционных установок, состояние освещения, исправность водопроводных кранов, стоков воды,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Ознакомиться с записью в Журнале состояния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4.1.3. О неисправностях в работе машины сделать запись в Журнале, сообщить руководству и до устранения неполадок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отсутствии кого-либо из обслуживающего или ремонтного персонала в опасной зоне машины и дать предупредительный сигнал.</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применении франкировальных машин должно обеспечиваться: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формирование клише франкировальной машины (элемента печатающего устройства франкировальной машины, позволяющего одновременно наносить на оболочку почтового отправления государственных знаков почтовой оплаты, подтверждающих оплату услуг почтовой связи, даты приема почтовых отправлений и другой информации) организацией федеральной почтовой связи;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передача организации федеральной почтовой связи франкировальной машиной по защищенному каналу связи с учетом требований по обеспечению информационной безопасности информации о значениях и изменениях контролируемых регистров и техническом состоянии франкировальной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Проводить соответствующую регулировку, а также проверять установку передаточных валиков относительно формного цилиндра следует только при выключенном общем выключателе.</w:t>
      </w:r>
    </w:p>
    <w:p>
      <w:pPr>
        <w:spacing w:line="240" w:lineRule="auto"/>
        <w:rPr>
          <w:rFonts w:hAnsi="Times New Roman" w:cs="Times New Roman"/>
          <w:color w:val="000000"/>
          <w:sz w:val="24"/>
          <w:szCs w:val="24"/>
        </w:rPr>
      </w:pPr>
      <w:r>
        <w:rPr>
          <w:rFonts w:hAnsi="Times New Roman" w:cs="Times New Roman"/>
          <w:color w:val="000000"/>
          <w:sz w:val="24"/>
          <w:szCs w:val="24"/>
        </w:rPr>
        <w:t>5.1.2. При пуске машины сначала следует нажать кнопку для включения электропривода, а затем кнопку для опускания формных цилиндров.</w:t>
      </w:r>
    </w:p>
    <w:p>
      <w:pPr>
        <w:spacing w:line="240" w:lineRule="auto"/>
        <w:rPr>
          <w:rFonts w:hAnsi="Times New Roman" w:cs="Times New Roman"/>
          <w:color w:val="000000"/>
          <w:sz w:val="24"/>
          <w:szCs w:val="24"/>
        </w:rPr>
      </w:pPr>
      <w:r>
        <w:rPr>
          <w:rFonts w:hAnsi="Times New Roman" w:cs="Times New Roman"/>
          <w:color w:val="000000"/>
          <w:sz w:val="24"/>
          <w:szCs w:val="24"/>
        </w:rPr>
        <w:t>5.1.3. При появлении посторонних звуков в машине нажать кнопку снижения скорости и только после этого остановить машину.</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и осторожным во время проводки бумаги во избежание захвата пальцев рук резиновыми валиками, при проталкивании штанги в бумажный рулон, а также при съеме запечатанного рулона со штанги, чтобы не нанести травмы себе и находящимся рядом работникам.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во время работы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смывать формный цилиндр;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формные цилиндры малых диаметров ставить вертикально или наклонно к машине, стене, столам и т. п.;</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поправлять проводку бумажного полотна во избежание пореза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допускать на рабочее место лиц, не имеющих отношения к работе, а также передоверять оборудование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5.2.3. Запрещается работать на оборудовании со снятыми ограждениями и неисправными блокировками.</w:t>
      </w:r>
    </w:p>
    <w:p>
      <w:pPr>
        <w:spacing w:line="240" w:lineRule="auto"/>
        <w:rPr>
          <w:rFonts w:hAnsi="Times New Roman" w:cs="Times New Roman"/>
          <w:color w:val="000000"/>
          <w:sz w:val="24"/>
          <w:szCs w:val="24"/>
        </w:rPr>
      </w:pPr>
      <w:r>
        <w:rPr>
          <w:rFonts w:hAnsi="Times New Roman" w:cs="Times New Roman"/>
          <w:color w:val="000000"/>
          <w:sz w:val="24"/>
          <w:szCs w:val="24"/>
        </w:rPr>
        <w:t>5.2.4. Необходимо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5.2.5.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5.2.7. Запрещается оставлять ГЖ и ЛВЖ в проходах, проездах и рабочих зонах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5.2.8. Необходимо быть внимательным, осторожным и не отвлекаться на посторонние разговоры.</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машину, обесточить электросеть за исключением осветительной сети, вызвать пожарную команду, сообщить руководителю работ и приступить к ликвидации очага пожара имеющимися средствами огнетушения.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51034c88cf148c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