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по</w:t>
      </w:r>
      <w:r>
        <w:rPr>
          <w:rFonts w:hAnsi="Times New Roman" w:cs="Times New Roman"/>
          <w:b/>
          <w:bCs/>
          <w:color w:val="000000"/>
          <w:sz w:val="24"/>
          <w:szCs w:val="24"/>
        </w:rPr>
        <w:t>сцеплении и расцепления прицепного катка с тягачом</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сцеплении и расцепления прицепного катка с тягачом.</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ведущим по сцеплении и расцепления прицепного катка с тягачом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влажность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или повышенная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или пониженный уровень освещенности;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напряжение зрения, внимания, длительные статические нагрузки.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 по сцеплении и расцепления прицепного катка с тягачом работник должен:</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прицепного катка, их буксирных устройств, наличие и исправность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удалить из зоны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4.1.2. Подготовить рабочую зону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ее осмотр,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подходы к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4.4.2. Рабочий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приспособлений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по сцеплению и расцеплению прицепного катка с тягачом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рабочую зону, не допускать загромождения материалами, инструментом, инвентарем,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Применять необходимые для безопасной работы исправный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5.1.7. Следить за состоянием инструмента, приспособлений,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Правильно выполнять приемы работ по сцеплении и расцепления прицепного катка с тягачом, при эксплуатации инструмента, приспособлений, а также при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5.1.10. Сцепка должна быть жесткой во избежание набегания катка на тягач при спуске или внезапных остановках. Длина буксира должна быть не более 4 метров. Минимальная длина жесткой сцепки должна выбираться с учетом обеспечения безопасности при сцепке и расцепке.</w:t>
      </w:r>
    </w:p>
    <w:p>
      <w:pPr>
        <w:spacing w:line="240" w:lineRule="auto"/>
        <w:rPr>
          <w:rFonts w:hAnsi="Times New Roman" w:cs="Times New Roman"/>
          <w:color w:val="000000"/>
          <w:sz w:val="24"/>
          <w:szCs w:val="24"/>
        </w:rPr>
      </w:pPr>
      <w:r>
        <w:rPr>
          <w:rFonts w:hAnsi="Times New Roman" w:cs="Times New Roman"/>
          <w:color w:val="000000"/>
          <w:sz w:val="24"/>
          <w:szCs w:val="24"/>
        </w:rPr>
        <w:t>5.1.11. Подъезд тягача к катку должен производиться задним ходом на пониженной передаче медленно и осторожно.</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подачи тягача к катку запрещается нахождение людей между этим транспортным средством и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5.1.13. Нахождение людей между транспортными средствами и катком для зацепления разрешается только после остановки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5.1.14. Перед сцепкой и расцепкой транспортного средства и катка последний необходимо затормозить стояночным тормозом, подложить под колеса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Сцепка и расцепка должны производиться на ровной горизонтальной площадке с твердым покрытием.</w:t>
      </w:r>
    </w:p>
    <w:p>
      <w:pPr>
        <w:spacing w:line="240" w:lineRule="auto"/>
        <w:rPr>
          <w:rFonts w:hAnsi="Times New Roman" w:cs="Times New Roman"/>
          <w:color w:val="000000"/>
          <w:sz w:val="24"/>
          <w:szCs w:val="24"/>
        </w:rPr>
      </w:pPr>
      <w:r>
        <w:rPr>
          <w:rFonts w:hAnsi="Times New Roman" w:cs="Times New Roman"/>
          <w:color w:val="000000"/>
          <w:sz w:val="24"/>
          <w:szCs w:val="24"/>
        </w:rPr>
        <w:t>5.1.15. В момент выполнения работы по сцепке автомобиля с катком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буксировка катков спецагрегатами, не имеющими свободного доступа к прицепному устройству и необорудованными специальными прицепными устройствами для безопасной сцепки или устройствами для автоматической сцепки и расцепки.</w:t>
      </w:r>
    </w:p>
    <w:p>
      <w:pPr>
        <w:spacing w:line="240" w:lineRule="auto"/>
        <w:rPr>
          <w:rFonts w:hAnsi="Times New Roman" w:cs="Times New Roman"/>
          <w:color w:val="000000"/>
          <w:sz w:val="24"/>
          <w:szCs w:val="24"/>
        </w:rPr>
      </w:pPr>
      <w:r>
        <w:rPr>
          <w:rFonts w:hAnsi="Times New Roman" w:cs="Times New Roman"/>
          <w:color w:val="000000"/>
          <w:sz w:val="24"/>
          <w:szCs w:val="24"/>
        </w:rPr>
        <w:t>5.1.17. Перед началом движения работник должен предупредить обслуживающих агрегат рабочих и других находящихся возле тягача лиц звуковыми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5.1.18. Во время движения тягача запрещается находиться на крыльях, сходить и подниматься на тягач, переходить с него на каток и обратно.</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осуществлять буксировку катка методом толкания.</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транспортным средством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транспортным средством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выполнению работ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транспортного средства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транспортное средство вблизи легковоспламеняющихся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транспортное средство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транспортное средство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транспортное средство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аварийной ситуации, инцидента (поломка транспортного средства, отказ тормозов, неисправность прицепных устройств и др.) немедленно прекратить работу, уведомить руководителя работ и действовать согласно полученным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пожара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технологические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 пожаре;</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электроэнергию;</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удалению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умело и быстро выполнить обязанности, изложенные в плане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очаг пожара от окружающего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горящие объемы заполнить негорючими газами или паром;</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искусственному снижению температуры горящего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В большинстве случаев горение ликвидируется одновременным применением нескольких методов.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инвентарь, приспособления,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0f119eb5f8c48f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