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монтаже и демонтаже металлических трубчатых лесов</w:t>
      </w:r>
      <w:r>
        <w:rPr>
          <w:rFonts w:hAnsi="Times New Roman" w:cs="Times New Roman"/>
          <w:color w:val="000000"/>
          <w:sz w:val="24"/>
          <w:szCs w:val="24"/>
        </w:rPr>
        <w:t xml:space="preserve"> 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монтаже и демонтаже металлических трубчатых лесов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строительстве, реконструкции и ремонте, утвержденные </w:t>
      </w:r>
      <w:r>
        <w:rPr>
          <w:rFonts w:hAnsi="Times New Roman" w:cs="Times New Roman"/>
          <w:color w:val="000000"/>
          <w:sz w:val="24"/>
          <w:szCs w:val="24"/>
        </w:rPr>
        <w:t>приказом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монтаже и демонтаже металлических трубчатых лесов.</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монтажу и демонтажу металлических трубчатых лесов допускаются лица не моложе 18 лет, имеющие специальное образование или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состояние сооружения, объекта, опалубки и поддерживающих креплений;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пневмооборудованием, грузоподъемными механизмами,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Сборка и разборка лесов производятся по наряду-допуску с соблюдением последовательности, предусмотренной ППР на высоте. Работники, участвующие в сборке и разборке лесов,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разборки лесов, примыкающих к зданию, все дверные проемы первого этажа и выходы на балконы всех этажей в пределах разбираемого участка закрываются.</w:t>
      </w:r>
    </w:p>
    <w:p>
      <w:pPr>
        <w:spacing w:line="240" w:lineRule="auto"/>
        <w:rPr>
          <w:rFonts w:hAnsi="Times New Roman" w:cs="Times New Roman"/>
          <w:color w:val="000000"/>
          <w:sz w:val="24"/>
          <w:szCs w:val="24"/>
        </w:rPr>
      </w:pPr>
      <w:r>
        <w:rPr>
          <w:rFonts w:hAnsi="Times New Roman" w:cs="Times New Roman"/>
          <w:color w:val="000000"/>
          <w:sz w:val="24"/>
          <w:szCs w:val="24"/>
        </w:rPr>
        <w:t>Доступ для посторонних лиц (непосредственно не занятых на данных работах) в зону, где устанавливаются или разбираются леса,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5.1.8. Леса, расположенные в местах проходов в здание, оборудуются защитными козырьками со сплошной боковой обшивкой для защиты от случайно упавших сверху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Защитные козырьки должны выступать за леса не менее чем на 1,5 м и иметь наклон в 20° в сторону лесов.</w:t>
      </w:r>
    </w:p>
    <w:p>
      <w:pPr>
        <w:spacing w:line="240" w:lineRule="auto"/>
        <w:rPr>
          <w:rFonts w:hAnsi="Times New Roman" w:cs="Times New Roman"/>
          <w:color w:val="000000"/>
          <w:sz w:val="24"/>
          <w:szCs w:val="24"/>
        </w:rPr>
      </w:pPr>
      <w:r>
        <w:rPr>
          <w:rFonts w:hAnsi="Times New Roman" w:cs="Times New Roman"/>
          <w:color w:val="000000"/>
          <w:sz w:val="24"/>
          <w:szCs w:val="24"/>
        </w:rPr>
        <w:t>Высота проходов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5.1.9. 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5x5 мм.</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передвижных средств подмащивания (в том числе шарнирно-рычажных вышек)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изготовителя для этого типа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перед передвижением средства подмащивания должны быть освобождены от материалов и тары и на них не должно быть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 или температуре наружного воздуха ниже -20°С работа на шарнирно-рычажной вышке не допускается, секции вышки должны быть опущены.</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перегружать средства подмащивания, выполнять ремонтные операции, открывать двери средств подмащивания и находиться на стреловых частях во время работы на высоте, работать при отсутствии или неправильной установке страховочной гайки в приводах подъема секции.</w:t>
      </w:r>
    </w:p>
    <w:p>
      <w:pPr>
        <w:spacing w:line="240" w:lineRule="auto"/>
        <w:rPr>
          <w:rFonts w:hAnsi="Times New Roman" w:cs="Times New Roman"/>
          <w:color w:val="000000"/>
          <w:sz w:val="24"/>
          <w:szCs w:val="24"/>
        </w:rPr>
      </w:pPr>
      <w:r>
        <w:rPr>
          <w:rFonts w:hAnsi="Times New Roman" w:cs="Times New Roman"/>
          <w:color w:val="000000"/>
          <w:sz w:val="24"/>
          <w:szCs w:val="24"/>
        </w:rPr>
        <w:t>5.1.11. Подвесные леса после их монтажа (сборки, изготовления) могут быть допущены к эксплуатации после соответствующих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они могут быть допущены к эксплуатации без испытания при условии, что конструкция, на которую подвешиваются леса,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отражаются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5.1.12. Подвесные леса и люльки во избежание раскачивания должны быть прикреплены к несущим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Консоли для подвесных люлек должны крепиться в соответствии с проектом производства работ или инструкцией по эксплуатации люльки.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опирать консоли на карнизы зданий и парапетные стенки из ветхой 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инвентарь и тара должны размещаться в люльке так, чтобы по всей ее длине оставался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в люльке более двух работников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люлек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соединение двух люлек в одну;</w:t>
      </w:r>
    </w:p>
    <w:p>
      <w:pPr>
        <w:spacing w:line="240" w:lineRule="auto"/>
        <w:rPr>
          <w:rFonts w:hAnsi="Times New Roman" w:cs="Times New Roman"/>
          <w:color w:val="000000"/>
          <w:sz w:val="24"/>
          <w:szCs w:val="24"/>
        </w:rPr>
      </w:pPr>
      <w:r>
        <w:rPr>
          <w:rFonts w:hAnsi="Times New Roman" w:cs="Times New Roman"/>
          <w:color w:val="000000"/>
          <w:sz w:val="24"/>
          <w:szCs w:val="24"/>
        </w:rPr>
        <w:t>2) переход на высоте из одной люльки в другую;</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бочек с водой в качестве балласта для лебедок;</w:t>
      </w:r>
    </w:p>
    <w:p>
      <w:pPr>
        <w:spacing w:line="240" w:lineRule="auto"/>
        <w:rPr>
          <w:rFonts w:hAnsi="Times New Roman" w:cs="Times New Roman"/>
          <w:color w:val="000000"/>
          <w:sz w:val="24"/>
          <w:szCs w:val="24"/>
        </w:rPr>
      </w:pPr>
      <w:r>
        <w:rPr>
          <w:rFonts w:hAnsi="Times New Roman" w:cs="Times New Roman"/>
          <w:color w:val="000000"/>
          <w:sz w:val="24"/>
          <w:szCs w:val="24"/>
        </w:rPr>
        <w:t>4) допуск к лебедкам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люльки (кабины) при ветре, скорость которого превышает 10 м/с, плохой видимости (при сильном дожде, снеге, тумане), обледенении, а также в любых других условиях, которые могут поставить под угрозу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6) вход в люльку и выход из нее допускаются только при нахождении люльки на земле;</w:t>
      </w:r>
    </w:p>
    <w:p>
      <w:pPr>
        <w:spacing w:line="240" w:lineRule="auto"/>
        <w:rPr>
          <w:rFonts w:hAnsi="Times New Roman" w:cs="Times New Roman"/>
          <w:color w:val="000000"/>
          <w:sz w:val="24"/>
          <w:szCs w:val="24"/>
        </w:rPr>
      </w:pPr>
      <w:r>
        <w:rPr>
          <w:rFonts w:hAnsi="Times New Roman" w:cs="Times New Roman"/>
          <w:color w:val="000000"/>
          <w:sz w:val="24"/>
          <w:szCs w:val="24"/>
        </w:rPr>
        <w:t>7) люльки и передвижные леса, с которых в течение смены работа не производится, должны быть опущены на землю, с подъемных ручных лебедок сняты рукоятки, будки электрических лебедок должны быть заперты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5.1.13. Ежедневно перед работой проводится осмотр и проверяется состояние люлек, передвижных лесов и канатов, проводится испытание по имитации обрыва рабочего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5.1.14. Безопасность работников при работе на высоте в подвесных люльках в дополнение к общим требованиям, предъявляемым к работе на лесах, должна обеспечиваться использованием системы безопасности необходимой в зависимости от условий производства работ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5.1.15.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сложить в отведенное для хранения место технологическую оснастку.</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сети электроинструмент, собрать инструмент, очистить от грязи.</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люки колодцев и камер или поставить вокруг них ограждения и соответствующий дорожный знак "Проезд закрыт, ведутся работы!", а также включить фонарь красного цвета.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от отходов монтируемых элементов рабочую зону и привести ее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27399a1c7db47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